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46" w:rsidRDefault="00C65046" w:rsidP="00E009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B41C5" wp14:editId="44B6F536">
                <wp:simplePos x="0" y="0"/>
                <wp:positionH relativeFrom="column">
                  <wp:posOffset>1438275</wp:posOffset>
                </wp:positionH>
                <wp:positionV relativeFrom="paragraph">
                  <wp:posOffset>0</wp:posOffset>
                </wp:positionV>
                <wp:extent cx="3867150" cy="752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046" w:rsidRDefault="00D6618D" w:rsidP="00C650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6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Graduate Labour Market Statistics:</w:t>
                            </w:r>
                          </w:p>
                          <w:p w:rsidR="00D6618D" w:rsidRPr="00D6618D" w:rsidRDefault="00C65046" w:rsidP="00C650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July-September </w:t>
                            </w:r>
                            <w:r w:rsidR="00D6618D" w:rsidRPr="00D6618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Q3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3.25pt;margin-top:0;width:304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" fillcolor="white [3212]" strokecolor="black [3213]" strokeweight="2pt">
                <v:textbox>
                  <w:txbxContent>
                    <w:p w:rsidR="00C65046" w:rsidRDefault="00D6618D" w:rsidP="00C6504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6618D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Graduate Labour Market Statistics:</w:t>
                      </w:r>
                    </w:p>
                    <w:p w:rsidR="00D6618D" w:rsidRPr="00D6618D" w:rsidRDefault="00C65046" w:rsidP="00C6504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July-September </w:t>
                      </w:r>
                      <w:r w:rsidR="00D6618D" w:rsidRPr="00D6618D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Q3 2014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39E9FFDE" wp14:editId="6109CD06">
            <wp:extent cx="1306522" cy="799816"/>
            <wp:effectExtent l="0" t="0" r="825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BISLogoStandardColour-highres-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832" cy="80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0F" w:rsidRPr="0064130B" w:rsidRDefault="00E00988">
      <w:pPr>
        <w:rPr>
          <w:rFonts w:ascii="Arial" w:hAnsi="Arial" w:cs="Arial"/>
          <w:b/>
          <w:sz w:val="24"/>
          <w:szCs w:val="24"/>
          <w:u w:val="single"/>
        </w:rPr>
      </w:pPr>
      <w:r w:rsidRPr="0064130B">
        <w:rPr>
          <w:rFonts w:ascii="Arial" w:hAnsi="Arial" w:cs="Arial"/>
          <w:b/>
          <w:i/>
          <w:sz w:val="24"/>
          <w:szCs w:val="24"/>
          <w:u w:val="single"/>
        </w:rPr>
        <w:t>Key Figures</w:t>
      </w:r>
      <w:r w:rsidR="00DA609D" w:rsidRPr="00DA609D">
        <w:rPr>
          <w:rFonts w:ascii="Arial" w:hAnsi="Arial" w:cs="Arial"/>
          <w:i/>
          <w:sz w:val="24"/>
          <w:szCs w:val="24"/>
          <w:u w:val="single"/>
        </w:rPr>
        <w:t xml:space="preserve"> (for England only)</w:t>
      </w:r>
      <w:r w:rsidR="00DA609D" w:rsidRPr="00DA609D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FD1A66" w:rsidRDefault="00701E0C" w:rsidP="00FD1A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01E0C">
        <w:rPr>
          <w:rFonts w:ascii="Arial" w:hAnsi="Arial" w:cs="Arial"/>
          <w:b/>
          <w:sz w:val="24"/>
          <w:szCs w:val="24"/>
        </w:rPr>
        <w:t>Graduates and postgraduates enjoy significantly better employment outcomes than</w:t>
      </w:r>
      <w:r>
        <w:rPr>
          <w:rFonts w:ascii="Arial" w:hAnsi="Arial" w:cs="Arial"/>
          <w:b/>
          <w:sz w:val="24"/>
          <w:szCs w:val="24"/>
        </w:rPr>
        <w:t xml:space="preserve"> non-graduates, with employment rates</w:t>
      </w:r>
      <w:r w:rsidR="00495F9E">
        <w:rPr>
          <w:rFonts w:ascii="Arial" w:hAnsi="Arial" w:cs="Arial"/>
          <w:b/>
          <w:sz w:val="24"/>
          <w:szCs w:val="24"/>
        </w:rPr>
        <w:t xml:space="preserve"> for all groups higher this quarter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5F9E">
        <w:rPr>
          <w:rFonts w:ascii="Arial" w:hAnsi="Arial" w:cs="Arial"/>
          <w:b/>
          <w:sz w:val="24"/>
          <w:szCs w:val="24"/>
        </w:rPr>
        <w:t>compared to this time last year</w:t>
      </w:r>
      <w:r w:rsidR="00232BB3">
        <w:rPr>
          <w:rFonts w:ascii="Arial" w:hAnsi="Arial" w:cs="Arial"/>
          <w:b/>
          <w:sz w:val="24"/>
          <w:szCs w:val="24"/>
        </w:rPr>
        <w:t>.</w:t>
      </w:r>
    </w:p>
    <w:p w:rsidR="008530A7" w:rsidRDefault="004B64ED" w:rsidP="00FD1A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 average, </w:t>
      </w:r>
      <w:r w:rsidR="00490D58">
        <w:rPr>
          <w:rFonts w:ascii="Arial" w:hAnsi="Arial" w:cs="Arial"/>
          <w:b/>
          <w:sz w:val="24"/>
          <w:szCs w:val="24"/>
        </w:rPr>
        <w:t>among</w:t>
      </w:r>
      <w:r w:rsidR="008530A7">
        <w:rPr>
          <w:rFonts w:ascii="Arial" w:hAnsi="Arial" w:cs="Arial"/>
          <w:b/>
          <w:sz w:val="24"/>
          <w:szCs w:val="24"/>
        </w:rPr>
        <w:t xml:space="preserve"> the working age population </w:t>
      </w:r>
      <w:r>
        <w:rPr>
          <w:rFonts w:ascii="Arial" w:hAnsi="Arial" w:cs="Arial"/>
          <w:b/>
          <w:sz w:val="24"/>
          <w:szCs w:val="24"/>
        </w:rPr>
        <w:t>graduates earn</w:t>
      </w:r>
      <w:r w:rsidR="00495F9E">
        <w:rPr>
          <w:rFonts w:ascii="Arial" w:hAnsi="Arial" w:cs="Arial"/>
          <w:b/>
          <w:sz w:val="24"/>
          <w:szCs w:val="24"/>
        </w:rPr>
        <w:t>ed</w:t>
      </w:r>
      <w:r>
        <w:rPr>
          <w:rFonts w:ascii="Arial" w:hAnsi="Arial" w:cs="Arial"/>
          <w:b/>
          <w:sz w:val="24"/>
          <w:szCs w:val="24"/>
        </w:rPr>
        <w:t xml:space="preserve"> £9,000 more per year than non-graduates,</w:t>
      </w:r>
      <w:r w:rsidR="008530A7">
        <w:rPr>
          <w:rFonts w:ascii="Arial" w:hAnsi="Arial" w:cs="Arial"/>
          <w:b/>
          <w:sz w:val="24"/>
          <w:szCs w:val="24"/>
        </w:rPr>
        <w:t xml:space="preserve"> with median graduate salaries of £31,000</w:t>
      </w:r>
      <w:r w:rsidR="008F1A70">
        <w:rPr>
          <w:rFonts w:ascii="Arial" w:hAnsi="Arial" w:cs="Arial"/>
          <w:b/>
          <w:sz w:val="24"/>
          <w:szCs w:val="24"/>
        </w:rPr>
        <w:t xml:space="preserve"> reported in Q3 2014.</w:t>
      </w:r>
    </w:p>
    <w:p w:rsidR="00B85F2E" w:rsidRPr="0057459A" w:rsidRDefault="008F1A70" w:rsidP="005745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Postgraduates across the working age</w:t>
      </w:r>
      <w:r w:rsidR="007F59D5">
        <w:rPr>
          <w:rFonts w:ascii="Arial" w:hAnsi="Arial" w:cs="Arial"/>
          <w:b/>
          <w:sz w:val="24"/>
          <w:szCs w:val="24"/>
        </w:rPr>
        <w:t xml:space="preserve"> population</w:t>
      </w:r>
      <w:r>
        <w:rPr>
          <w:rFonts w:ascii="Arial" w:hAnsi="Arial" w:cs="Arial"/>
          <w:b/>
          <w:sz w:val="24"/>
          <w:szCs w:val="24"/>
        </w:rPr>
        <w:t xml:space="preserve"> earn an additional £9,000</w:t>
      </w:r>
      <w:r w:rsidR="00495F9E">
        <w:rPr>
          <w:rFonts w:ascii="Arial" w:hAnsi="Arial" w:cs="Arial"/>
          <w:b/>
          <w:sz w:val="24"/>
          <w:szCs w:val="24"/>
        </w:rPr>
        <w:t xml:space="preserve"> per year compared to graduates, averaging annual earnings of </w:t>
      </w:r>
      <w:r w:rsidR="0057459A">
        <w:rPr>
          <w:rFonts w:ascii="Arial" w:hAnsi="Arial" w:cs="Arial"/>
          <w:b/>
          <w:sz w:val="24"/>
          <w:szCs w:val="24"/>
        </w:rPr>
        <w:t>£40,000 per year.</w:t>
      </w:r>
    </w:p>
    <w:p w:rsidR="009D34A9" w:rsidRDefault="00B85F2E" w:rsidP="00C564C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the first release of </w:t>
      </w:r>
      <w:r w:rsidRPr="001D292D">
        <w:rPr>
          <w:rFonts w:ascii="Arial" w:hAnsi="Arial" w:cs="Arial"/>
          <w:i/>
          <w:sz w:val="24"/>
          <w:szCs w:val="24"/>
        </w:rPr>
        <w:t>Graduate Labour Market Statistics</w:t>
      </w:r>
      <w:r w:rsidR="00CF101B">
        <w:rPr>
          <w:rFonts w:ascii="Arial" w:hAnsi="Arial" w:cs="Arial"/>
          <w:i/>
          <w:sz w:val="24"/>
          <w:szCs w:val="24"/>
        </w:rPr>
        <w:t xml:space="preserve"> (GLMS)</w:t>
      </w:r>
      <w:r>
        <w:rPr>
          <w:rFonts w:ascii="Arial" w:hAnsi="Arial" w:cs="Arial"/>
          <w:sz w:val="24"/>
          <w:szCs w:val="24"/>
        </w:rPr>
        <w:t xml:space="preserve">, a quarterly publication </w:t>
      </w:r>
      <w:r w:rsidR="00490D58">
        <w:rPr>
          <w:rFonts w:ascii="Arial" w:hAnsi="Arial" w:cs="Arial"/>
          <w:sz w:val="24"/>
          <w:szCs w:val="24"/>
        </w:rPr>
        <w:t>on</w:t>
      </w:r>
      <w:r w:rsidR="00D6618D">
        <w:rPr>
          <w:rFonts w:ascii="Arial" w:hAnsi="Arial" w:cs="Arial"/>
          <w:sz w:val="24"/>
          <w:szCs w:val="24"/>
        </w:rPr>
        <w:t xml:space="preserve"> labour market conditions for</w:t>
      </w:r>
      <w:r>
        <w:rPr>
          <w:rFonts w:ascii="Arial" w:hAnsi="Arial" w:cs="Arial"/>
          <w:sz w:val="24"/>
          <w:szCs w:val="24"/>
        </w:rPr>
        <w:t xml:space="preserve"> </w:t>
      </w:r>
      <w:r w:rsidR="00DA609D">
        <w:rPr>
          <w:rFonts w:ascii="Arial" w:hAnsi="Arial" w:cs="Arial"/>
          <w:sz w:val="24"/>
          <w:szCs w:val="24"/>
        </w:rPr>
        <w:t>English domicile</w:t>
      </w:r>
      <w:r w:rsidR="00C564C8">
        <w:rPr>
          <w:rFonts w:ascii="Arial" w:hAnsi="Arial" w:cs="Arial"/>
          <w:sz w:val="24"/>
          <w:szCs w:val="24"/>
        </w:rPr>
        <w:t>d</w:t>
      </w:r>
      <w:r w:rsidR="00DA60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graduate</w:t>
      </w:r>
      <w:r w:rsidR="00D6618D">
        <w:rPr>
          <w:rFonts w:ascii="Arial" w:hAnsi="Arial" w:cs="Arial"/>
          <w:sz w:val="24"/>
          <w:szCs w:val="24"/>
        </w:rPr>
        <w:t>s</w:t>
      </w:r>
      <w:r w:rsidR="00CB1448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postgraduate</w:t>
      </w:r>
      <w:r w:rsidR="00D661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90D58">
        <w:rPr>
          <w:rFonts w:ascii="Arial" w:hAnsi="Arial" w:cs="Arial"/>
          <w:sz w:val="24"/>
          <w:szCs w:val="24"/>
        </w:rPr>
        <w:t>relative</w:t>
      </w:r>
      <w:r w:rsidR="00D6618D">
        <w:rPr>
          <w:rFonts w:ascii="Arial" w:hAnsi="Arial" w:cs="Arial"/>
          <w:sz w:val="24"/>
          <w:szCs w:val="24"/>
        </w:rPr>
        <w:t xml:space="preserve"> to n</w:t>
      </w:r>
      <w:r w:rsidR="00084002">
        <w:rPr>
          <w:rFonts w:ascii="Arial" w:hAnsi="Arial" w:cs="Arial"/>
          <w:sz w:val="24"/>
          <w:szCs w:val="24"/>
        </w:rPr>
        <w:t>on–graduate</w:t>
      </w:r>
      <w:r w:rsidR="00D6618D">
        <w:rPr>
          <w:rFonts w:ascii="Arial" w:hAnsi="Arial" w:cs="Arial"/>
          <w:sz w:val="24"/>
          <w:szCs w:val="24"/>
        </w:rPr>
        <w:t>s</w:t>
      </w:r>
      <w:r w:rsidR="00417ADD">
        <w:rPr>
          <w:rFonts w:ascii="Arial" w:hAnsi="Arial" w:cs="Arial"/>
          <w:sz w:val="24"/>
          <w:szCs w:val="24"/>
        </w:rPr>
        <w:t>. This report covers</w:t>
      </w:r>
      <w:r>
        <w:rPr>
          <w:rFonts w:ascii="Arial" w:hAnsi="Arial" w:cs="Arial"/>
          <w:sz w:val="24"/>
          <w:szCs w:val="24"/>
        </w:rPr>
        <w:t xml:space="preserve"> July-September (Q3) </w:t>
      </w:r>
      <w:r w:rsidR="001D292D">
        <w:rPr>
          <w:rFonts w:ascii="Arial" w:hAnsi="Arial" w:cs="Arial"/>
          <w:sz w:val="24"/>
          <w:szCs w:val="24"/>
        </w:rPr>
        <w:t>2014 using data from the Labour Force Survey.</w:t>
      </w:r>
    </w:p>
    <w:p w:rsidR="00441395" w:rsidRDefault="009D34A9" w:rsidP="00C564C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purposes of this note</w:t>
      </w:r>
      <w:r w:rsidR="00490D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D292D">
        <w:rPr>
          <w:rFonts w:ascii="Arial" w:hAnsi="Arial" w:cs="Arial"/>
          <w:i/>
          <w:sz w:val="24"/>
          <w:szCs w:val="24"/>
        </w:rPr>
        <w:t xml:space="preserve">graduates </w:t>
      </w:r>
      <w:r>
        <w:rPr>
          <w:rFonts w:ascii="Arial" w:hAnsi="Arial" w:cs="Arial"/>
          <w:sz w:val="24"/>
          <w:szCs w:val="24"/>
        </w:rPr>
        <w:t>refer</w:t>
      </w:r>
      <w:r w:rsidR="00490D5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people whose highest qualification is an undergraduate degree</w:t>
      </w:r>
      <w:r w:rsidR="00C564C8">
        <w:rPr>
          <w:rFonts w:ascii="Arial" w:hAnsi="Arial" w:cs="Arial"/>
          <w:sz w:val="24"/>
          <w:szCs w:val="24"/>
        </w:rPr>
        <w:t xml:space="preserve"> at bachelors level</w:t>
      </w:r>
      <w:r>
        <w:rPr>
          <w:rFonts w:ascii="Arial" w:hAnsi="Arial" w:cs="Arial"/>
          <w:sz w:val="24"/>
          <w:szCs w:val="24"/>
        </w:rPr>
        <w:t>,</w:t>
      </w:r>
      <w:r w:rsidRPr="001D292D">
        <w:rPr>
          <w:rFonts w:ascii="Arial" w:hAnsi="Arial" w:cs="Arial"/>
          <w:i/>
          <w:sz w:val="24"/>
          <w:szCs w:val="24"/>
        </w:rPr>
        <w:t xml:space="preserve"> postgraduates</w:t>
      </w:r>
      <w:r>
        <w:rPr>
          <w:rFonts w:ascii="Arial" w:hAnsi="Arial" w:cs="Arial"/>
          <w:sz w:val="24"/>
          <w:szCs w:val="24"/>
        </w:rPr>
        <w:t xml:space="preserve"> are those who hold a Masters or PhD </w:t>
      </w:r>
      <w:r w:rsidR="004D6599">
        <w:rPr>
          <w:rFonts w:ascii="Arial" w:hAnsi="Arial" w:cs="Arial"/>
          <w:sz w:val="24"/>
          <w:szCs w:val="24"/>
        </w:rPr>
        <w:t>as their highest qualification</w:t>
      </w:r>
      <w:r w:rsidR="00490D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Pr="001D292D">
        <w:rPr>
          <w:rFonts w:ascii="Arial" w:hAnsi="Arial" w:cs="Arial"/>
          <w:i/>
          <w:sz w:val="24"/>
          <w:szCs w:val="24"/>
        </w:rPr>
        <w:t>non-graduates</w:t>
      </w:r>
      <w:r>
        <w:rPr>
          <w:rFonts w:ascii="Arial" w:hAnsi="Arial" w:cs="Arial"/>
          <w:sz w:val="24"/>
          <w:szCs w:val="24"/>
        </w:rPr>
        <w:t xml:space="preserve"> </w:t>
      </w:r>
      <w:r w:rsidR="004D6599">
        <w:rPr>
          <w:rFonts w:ascii="Arial" w:hAnsi="Arial" w:cs="Arial"/>
          <w:sz w:val="24"/>
          <w:szCs w:val="24"/>
        </w:rPr>
        <w:t xml:space="preserve">those </w:t>
      </w:r>
      <w:r w:rsidRPr="00490D58">
        <w:rPr>
          <w:rFonts w:ascii="Arial" w:hAnsi="Arial" w:cs="Arial"/>
          <w:sz w:val="24"/>
          <w:szCs w:val="24"/>
        </w:rPr>
        <w:t xml:space="preserve">whose </w:t>
      </w:r>
      <w:r w:rsidR="004D6599" w:rsidRPr="00490D58">
        <w:rPr>
          <w:rFonts w:ascii="Arial" w:hAnsi="Arial" w:cs="Arial"/>
          <w:sz w:val="24"/>
          <w:szCs w:val="24"/>
        </w:rPr>
        <w:t>highest qualification is below undergraduate level (i</w:t>
      </w:r>
      <w:r w:rsidR="00490D58">
        <w:rPr>
          <w:rFonts w:ascii="Arial" w:hAnsi="Arial" w:cs="Arial"/>
          <w:sz w:val="24"/>
          <w:szCs w:val="24"/>
        </w:rPr>
        <w:t>.</w:t>
      </w:r>
      <w:r w:rsidR="004D6599" w:rsidRPr="00490D58">
        <w:rPr>
          <w:rFonts w:ascii="Arial" w:hAnsi="Arial" w:cs="Arial"/>
          <w:sz w:val="24"/>
          <w:szCs w:val="24"/>
        </w:rPr>
        <w:t>e</w:t>
      </w:r>
      <w:r w:rsidR="00490D58">
        <w:rPr>
          <w:rFonts w:ascii="Arial" w:hAnsi="Arial" w:cs="Arial"/>
          <w:sz w:val="24"/>
          <w:szCs w:val="24"/>
        </w:rPr>
        <w:t>.</w:t>
      </w:r>
      <w:r w:rsidR="004D6599" w:rsidRPr="00490D58">
        <w:rPr>
          <w:rFonts w:ascii="Arial" w:hAnsi="Arial" w:cs="Arial"/>
          <w:sz w:val="24"/>
          <w:szCs w:val="24"/>
        </w:rPr>
        <w:t xml:space="preserve"> NQF Level 5 or below</w:t>
      </w:r>
      <w:r w:rsidR="004D6599">
        <w:rPr>
          <w:rFonts w:ascii="Arial" w:hAnsi="Arial" w:cs="Arial"/>
          <w:sz w:val="24"/>
          <w:szCs w:val="24"/>
        </w:rPr>
        <w:t>)</w:t>
      </w:r>
      <w:r w:rsidR="00490D58">
        <w:rPr>
          <w:rFonts w:ascii="Arial" w:hAnsi="Arial" w:cs="Arial"/>
          <w:sz w:val="24"/>
          <w:szCs w:val="24"/>
        </w:rPr>
        <w:t>.</w:t>
      </w:r>
      <w:r w:rsidR="00D017EE">
        <w:rPr>
          <w:rStyle w:val="EndnoteReference"/>
          <w:rFonts w:ascii="Arial" w:hAnsi="Arial" w:cs="Arial"/>
          <w:sz w:val="24"/>
          <w:szCs w:val="24"/>
        </w:rPr>
        <w:endnoteReference w:id="1"/>
      </w:r>
    </w:p>
    <w:p w:rsidR="005354F6" w:rsidRDefault="005354F6" w:rsidP="00C564C8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should be noted that</w:t>
      </w:r>
      <w:r w:rsidR="00CB1448">
        <w:rPr>
          <w:rFonts w:ascii="Arial" w:hAnsi="Arial" w:cs="Arial"/>
          <w:sz w:val="24"/>
          <w:szCs w:val="24"/>
        </w:rPr>
        <w:t xml:space="preserve"> </w:t>
      </w:r>
      <w:r w:rsidR="007E29C7">
        <w:rPr>
          <w:rFonts w:ascii="Arial" w:hAnsi="Arial" w:cs="Arial"/>
          <w:sz w:val="24"/>
          <w:szCs w:val="24"/>
        </w:rPr>
        <w:t>quarter-on-</w:t>
      </w:r>
      <w:r>
        <w:rPr>
          <w:rFonts w:ascii="Arial" w:hAnsi="Arial" w:cs="Arial"/>
          <w:sz w:val="24"/>
          <w:szCs w:val="24"/>
        </w:rPr>
        <w:t xml:space="preserve">quarter </w:t>
      </w:r>
      <w:r w:rsidR="007E29C7">
        <w:rPr>
          <w:rFonts w:ascii="Arial" w:hAnsi="Arial" w:cs="Arial"/>
          <w:sz w:val="24"/>
          <w:szCs w:val="24"/>
        </w:rPr>
        <w:t xml:space="preserve">(Q/Q) </w:t>
      </w:r>
      <w:r>
        <w:rPr>
          <w:rFonts w:ascii="Arial" w:hAnsi="Arial" w:cs="Arial"/>
          <w:sz w:val="24"/>
          <w:szCs w:val="24"/>
        </w:rPr>
        <w:t xml:space="preserve">changes can be small </w:t>
      </w:r>
      <w:r w:rsidR="00490D58">
        <w:rPr>
          <w:rFonts w:ascii="Arial" w:hAnsi="Arial" w:cs="Arial"/>
          <w:sz w:val="24"/>
          <w:szCs w:val="24"/>
        </w:rPr>
        <w:t>and reactive to seasonal variation—particularly from Q2 to Q3, when most new graduates enter the labour force.</w:t>
      </w:r>
      <w:r>
        <w:rPr>
          <w:rFonts w:ascii="Arial" w:hAnsi="Arial" w:cs="Arial"/>
          <w:sz w:val="24"/>
          <w:szCs w:val="24"/>
        </w:rPr>
        <w:t xml:space="preserve"> </w:t>
      </w:r>
      <w:r w:rsidR="00490D5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ear-on-year</w:t>
      </w:r>
      <w:r w:rsidR="007E29C7">
        <w:rPr>
          <w:rFonts w:ascii="Arial" w:hAnsi="Arial" w:cs="Arial"/>
          <w:sz w:val="24"/>
          <w:szCs w:val="24"/>
        </w:rPr>
        <w:t xml:space="preserve"> (Y/Y)</w:t>
      </w:r>
      <w:r>
        <w:rPr>
          <w:rFonts w:ascii="Arial" w:hAnsi="Arial" w:cs="Arial"/>
          <w:sz w:val="24"/>
          <w:szCs w:val="24"/>
        </w:rPr>
        <w:t xml:space="preserve"> changes provide a clearer indication of overall trends. </w:t>
      </w:r>
      <w:r w:rsidR="00F15D30">
        <w:rPr>
          <w:rFonts w:ascii="Arial" w:hAnsi="Arial" w:cs="Arial"/>
          <w:sz w:val="24"/>
          <w:szCs w:val="24"/>
        </w:rPr>
        <w:t xml:space="preserve">See Tables 1.1 and 1.2 for </w:t>
      </w:r>
      <w:r w:rsidR="0056632E">
        <w:rPr>
          <w:rFonts w:ascii="Arial" w:hAnsi="Arial" w:cs="Arial"/>
          <w:sz w:val="24"/>
          <w:szCs w:val="24"/>
        </w:rPr>
        <w:t>current</w:t>
      </w:r>
      <w:r w:rsidR="00F15D30">
        <w:rPr>
          <w:rFonts w:ascii="Arial" w:hAnsi="Arial" w:cs="Arial"/>
          <w:sz w:val="24"/>
          <w:szCs w:val="24"/>
        </w:rPr>
        <w:t xml:space="preserve"> figures</w:t>
      </w:r>
      <w:r w:rsidR="0056632E">
        <w:rPr>
          <w:rFonts w:ascii="Arial" w:hAnsi="Arial" w:cs="Arial"/>
          <w:sz w:val="24"/>
          <w:szCs w:val="24"/>
        </w:rPr>
        <w:t xml:space="preserve"> and Y/Y and Q/Q changes</w:t>
      </w:r>
      <w:r w:rsidR="00F15D30">
        <w:rPr>
          <w:rFonts w:ascii="Arial" w:hAnsi="Arial" w:cs="Arial"/>
          <w:sz w:val="24"/>
          <w:szCs w:val="24"/>
        </w:rPr>
        <w:t>.</w:t>
      </w:r>
    </w:p>
    <w:p w:rsidR="00783C29" w:rsidRPr="00F24427" w:rsidRDefault="00783C29" w:rsidP="00F2442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4427">
        <w:rPr>
          <w:rFonts w:ascii="Arial" w:hAnsi="Arial" w:cs="Arial"/>
          <w:b/>
          <w:sz w:val="24"/>
          <w:szCs w:val="24"/>
        </w:rPr>
        <w:t>Economic Activity</w:t>
      </w:r>
      <w:r w:rsidR="00232BB3" w:rsidRPr="00F24427">
        <w:rPr>
          <w:rFonts w:ascii="Arial" w:hAnsi="Arial" w:cs="Arial"/>
          <w:b/>
          <w:sz w:val="24"/>
          <w:szCs w:val="24"/>
        </w:rPr>
        <w:t xml:space="preserve"> across the Working Age Population</w:t>
      </w:r>
      <w:r w:rsidR="00614A68">
        <w:rPr>
          <w:rFonts w:ascii="Arial" w:hAnsi="Arial" w:cs="Arial"/>
          <w:b/>
          <w:sz w:val="24"/>
          <w:szCs w:val="24"/>
        </w:rPr>
        <w:t xml:space="preserve"> (16-64 years old)</w:t>
      </w:r>
    </w:p>
    <w:p w:rsidR="00D44415" w:rsidRDefault="00783C29" w:rsidP="00C564C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Graduates and postgraduates </w:t>
      </w:r>
      <w:r w:rsidR="007F59D5">
        <w:rPr>
          <w:rFonts w:ascii="Arial" w:hAnsi="Arial" w:cs="Arial"/>
          <w:sz w:val="24"/>
          <w:szCs w:val="24"/>
        </w:rPr>
        <w:t xml:space="preserve">have </w:t>
      </w:r>
      <w:r>
        <w:rPr>
          <w:rFonts w:ascii="Arial" w:hAnsi="Arial" w:cs="Arial"/>
          <w:sz w:val="24"/>
          <w:szCs w:val="24"/>
        </w:rPr>
        <w:t>significantly better employment outcomes than non-graduates. Among the working-age population 87% of graduates and postgraduates are in employment, compared to 70% of non-graduates.</w:t>
      </w:r>
      <w:r w:rsidR="00F24427">
        <w:rPr>
          <w:rFonts w:ascii="Arial" w:hAnsi="Arial" w:cs="Arial"/>
          <w:sz w:val="24"/>
          <w:szCs w:val="24"/>
        </w:rPr>
        <w:t xml:space="preserve"> </w:t>
      </w:r>
      <w:r w:rsidR="00232BB3" w:rsidRPr="00F24427">
        <w:rPr>
          <w:rFonts w:ascii="Arial" w:hAnsi="Arial" w:cs="Arial"/>
          <w:sz w:val="24"/>
          <w:szCs w:val="24"/>
        </w:rPr>
        <w:t>The Q3 employment rate for all graduates is now higher than it was before the 2008 recession.</w:t>
      </w:r>
    </w:p>
    <w:p w:rsidR="000821B7" w:rsidRDefault="000821B7" w:rsidP="00C564C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Compared with Q3 last year, employment rates for all groups are up between one and four percentage points, with young graduates seeing the largest Y/Y</w:t>
      </w:r>
      <w:r w:rsidR="001766CD">
        <w:rPr>
          <w:rFonts w:ascii="Arial" w:hAnsi="Arial" w:cs="Arial"/>
          <w:sz w:val="24"/>
          <w:szCs w:val="24"/>
        </w:rPr>
        <w:t xml:space="preserve"> increase of</w:t>
      </w:r>
      <w:r>
        <w:rPr>
          <w:rFonts w:ascii="Arial" w:hAnsi="Arial" w:cs="Arial"/>
          <w:sz w:val="24"/>
          <w:szCs w:val="24"/>
        </w:rPr>
        <w:t xml:space="preserve"> 3.7 percentage points.</w:t>
      </w:r>
      <w:r>
        <w:rPr>
          <w:rStyle w:val="EndnoteReference"/>
          <w:rFonts w:ascii="Arial" w:hAnsi="Arial" w:cs="Arial"/>
          <w:sz w:val="24"/>
          <w:szCs w:val="24"/>
        </w:rPr>
        <w:endnoteReference w:id="2"/>
      </w:r>
    </w:p>
    <w:p w:rsidR="00783C29" w:rsidRDefault="00E039D8" w:rsidP="00783C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Graduates are also more likely to be working in </w:t>
      </w:r>
      <w:r w:rsidRPr="00E039D8">
        <w:rPr>
          <w:rFonts w:ascii="Arial" w:hAnsi="Arial" w:cs="Arial"/>
          <w:i/>
          <w:sz w:val="24"/>
          <w:szCs w:val="24"/>
        </w:rPr>
        <w:t>high skill</w:t>
      </w:r>
      <w:r>
        <w:rPr>
          <w:rFonts w:ascii="Arial" w:hAnsi="Arial" w:cs="Arial"/>
          <w:sz w:val="24"/>
          <w:szCs w:val="24"/>
        </w:rPr>
        <w:t xml:space="preserve"> </w:t>
      </w:r>
      <w:r w:rsidR="00083E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or </w:t>
      </w:r>
      <w:r w:rsidRPr="00083E89">
        <w:rPr>
          <w:rFonts w:ascii="Arial" w:hAnsi="Arial" w:cs="Arial"/>
          <w:i/>
          <w:sz w:val="24"/>
          <w:szCs w:val="24"/>
        </w:rPr>
        <w:t>graduate</w:t>
      </w:r>
      <w:r w:rsidR="00083E8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jobs</w:t>
      </w:r>
      <w:r w:rsidR="00083E89">
        <w:rPr>
          <w:rFonts w:ascii="Arial" w:hAnsi="Arial" w:cs="Arial"/>
          <w:sz w:val="24"/>
          <w:szCs w:val="24"/>
        </w:rPr>
        <w:t>.</w:t>
      </w:r>
      <w:r w:rsidR="00D017EE">
        <w:rPr>
          <w:rStyle w:val="EndnoteReference"/>
          <w:rFonts w:ascii="Arial" w:hAnsi="Arial" w:cs="Arial"/>
          <w:sz w:val="24"/>
          <w:szCs w:val="24"/>
        </w:rPr>
        <w:endnoteReference w:id="3"/>
      </w:r>
      <w:r>
        <w:rPr>
          <w:rFonts w:ascii="Arial" w:hAnsi="Arial" w:cs="Arial"/>
          <w:sz w:val="24"/>
          <w:szCs w:val="24"/>
        </w:rPr>
        <w:t xml:space="preserve"> </w:t>
      </w:r>
      <w:r w:rsidR="00083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78% of </w:t>
      </w:r>
      <w:r w:rsidR="001766CD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>postgraduates and 68% of graduates were working in high skill employment in Q3 2014</w:t>
      </w:r>
      <w:r w:rsidR="00083E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compared to 22% of non-graduates.</w:t>
      </w:r>
    </w:p>
    <w:p w:rsidR="00232BB3" w:rsidRDefault="00232BB3" w:rsidP="00C564C8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Unemployment rates among the working age population stand at 2.5%, 3.5%, and 7.4% for postgraduates, graduates and non-graduates respectively.</w:t>
      </w:r>
    </w:p>
    <w:p w:rsidR="00232BB3" w:rsidRPr="00F24427" w:rsidRDefault="00232BB3" w:rsidP="00C564C8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b/>
          <w:sz w:val="24"/>
          <w:szCs w:val="24"/>
        </w:rPr>
      </w:pPr>
      <w:r w:rsidRPr="00F24427">
        <w:rPr>
          <w:rFonts w:ascii="Arial" w:hAnsi="Arial" w:cs="Arial"/>
          <w:b/>
          <w:sz w:val="24"/>
          <w:szCs w:val="24"/>
        </w:rPr>
        <w:t>Economic Activity across the Young Population (21-30 years old)</w:t>
      </w:r>
    </w:p>
    <w:p w:rsidR="00783C29" w:rsidRDefault="00783C29" w:rsidP="00C564C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Among the young population </w:t>
      </w:r>
      <w:r w:rsidR="00262331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 xml:space="preserve">% of postgraduates and </w:t>
      </w:r>
      <w:r w:rsidR="00262331">
        <w:rPr>
          <w:rFonts w:ascii="Arial" w:hAnsi="Arial" w:cs="Arial"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 xml:space="preserve">% of graduates are in employment, </w:t>
      </w:r>
      <w:r w:rsidR="00262331">
        <w:rPr>
          <w:rFonts w:ascii="Arial" w:hAnsi="Arial" w:cs="Arial"/>
          <w:sz w:val="24"/>
          <w:szCs w:val="24"/>
        </w:rPr>
        <w:t>compared to 71</w:t>
      </w:r>
      <w:r>
        <w:rPr>
          <w:rFonts w:ascii="Arial" w:hAnsi="Arial" w:cs="Arial"/>
          <w:sz w:val="24"/>
          <w:szCs w:val="24"/>
        </w:rPr>
        <w:t xml:space="preserve">% of </w:t>
      </w:r>
      <w:r w:rsidR="00262331">
        <w:rPr>
          <w:rFonts w:ascii="Arial" w:hAnsi="Arial" w:cs="Arial"/>
          <w:sz w:val="24"/>
          <w:szCs w:val="24"/>
        </w:rPr>
        <w:t>non-graduates</w:t>
      </w:r>
      <w:r>
        <w:rPr>
          <w:rFonts w:ascii="Arial" w:hAnsi="Arial" w:cs="Arial"/>
          <w:sz w:val="24"/>
          <w:szCs w:val="24"/>
        </w:rPr>
        <w:t xml:space="preserve">. High skill employment rates stand at </w:t>
      </w:r>
      <w:r w:rsidR="00262331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% and </w:t>
      </w:r>
      <w:r w:rsidR="00262331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>% for</w:t>
      </w:r>
      <w:r w:rsidR="00F0490B">
        <w:rPr>
          <w:rFonts w:ascii="Arial" w:hAnsi="Arial" w:cs="Arial"/>
          <w:sz w:val="24"/>
          <w:szCs w:val="24"/>
        </w:rPr>
        <w:t xml:space="preserve"> all young</w:t>
      </w:r>
      <w:r>
        <w:rPr>
          <w:rFonts w:ascii="Arial" w:hAnsi="Arial" w:cs="Arial"/>
          <w:sz w:val="24"/>
          <w:szCs w:val="24"/>
        </w:rPr>
        <w:t xml:space="preserve"> postgraduates and graduates respectively, and</w:t>
      </w:r>
      <w:r w:rsidR="00262331"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 xml:space="preserve">% for </w:t>
      </w:r>
      <w:r w:rsidR="00262331">
        <w:rPr>
          <w:rFonts w:ascii="Arial" w:hAnsi="Arial" w:cs="Arial"/>
          <w:sz w:val="24"/>
          <w:szCs w:val="24"/>
        </w:rPr>
        <w:t>non-graduates</w:t>
      </w:r>
      <w:r>
        <w:rPr>
          <w:rFonts w:ascii="Arial" w:hAnsi="Arial" w:cs="Arial"/>
          <w:sz w:val="24"/>
          <w:szCs w:val="24"/>
        </w:rPr>
        <w:t>.</w:t>
      </w:r>
    </w:p>
    <w:p w:rsidR="00783C29" w:rsidRDefault="00232BB3" w:rsidP="00C564C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Unemployment rates for </w:t>
      </w:r>
      <w:r w:rsidR="00783C29">
        <w:rPr>
          <w:rFonts w:ascii="Arial" w:hAnsi="Arial" w:cs="Arial"/>
          <w:sz w:val="24"/>
          <w:szCs w:val="24"/>
        </w:rPr>
        <w:t xml:space="preserve">young individuals are higher </w:t>
      </w:r>
      <w:r w:rsidR="00A7718D">
        <w:rPr>
          <w:rFonts w:ascii="Arial" w:hAnsi="Arial" w:cs="Arial"/>
          <w:sz w:val="24"/>
          <w:szCs w:val="24"/>
        </w:rPr>
        <w:t xml:space="preserve">than for the working-age population </w:t>
      </w:r>
      <w:r w:rsidR="00783C29">
        <w:rPr>
          <w:rFonts w:ascii="Arial" w:hAnsi="Arial" w:cs="Arial"/>
          <w:sz w:val="24"/>
          <w:szCs w:val="24"/>
        </w:rPr>
        <w:t xml:space="preserve">at 4.7%, 5.7%, and 9.8% </w:t>
      </w:r>
      <w:r>
        <w:rPr>
          <w:rFonts w:ascii="Arial" w:hAnsi="Arial" w:cs="Arial"/>
          <w:sz w:val="24"/>
          <w:szCs w:val="24"/>
        </w:rPr>
        <w:t xml:space="preserve">for postgraduates, graduates and non-graduates </w:t>
      </w:r>
      <w:r w:rsidR="00783C29">
        <w:rPr>
          <w:rFonts w:ascii="Arial" w:hAnsi="Arial" w:cs="Arial"/>
          <w:sz w:val="24"/>
          <w:szCs w:val="24"/>
        </w:rPr>
        <w:t xml:space="preserve">respectively. </w:t>
      </w:r>
    </w:p>
    <w:p w:rsidR="00783C29" w:rsidRPr="00202594" w:rsidRDefault="00783C29" w:rsidP="00783C29">
      <w:pPr>
        <w:pStyle w:val="Caption"/>
        <w:keepNext/>
        <w:rPr>
          <w:color w:val="auto"/>
          <w:sz w:val="22"/>
          <w:szCs w:val="22"/>
        </w:rPr>
      </w:pPr>
      <w:proofErr w:type="gramStart"/>
      <w:r w:rsidRPr="00202594">
        <w:rPr>
          <w:color w:val="auto"/>
          <w:sz w:val="22"/>
          <w:szCs w:val="22"/>
        </w:rPr>
        <w:t xml:space="preserve">Figure </w:t>
      </w:r>
      <w:r w:rsidR="007C6CA3">
        <w:rPr>
          <w:color w:val="auto"/>
          <w:sz w:val="22"/>
          <w:szCs w:val="22"/>
        </w:rPr>
        <w:t>1</w:t>
      </w:r>
      <w:r w:rsidRPr="00202594">
        <w:rPr>
          <w:color w:val="auto"/>
          <w:sz w:val="22"/>
          <w:szCs w:val="22"/>
        </w:rPr>
        <w:t>.</w:t>
      </w:r>
      <w:proofErr w:type="gramEnd"/>
      <w:r w:rsidRPr="00202594">
        <w:rPr>
          <w:color w:val="auto"/>
          <w:sz w:val="22"/>
          <w:szCs w:val="22"/>
        </w:rPr>
        <w:t xml:space="preserve"> Economic Activity by Qualification and Age</w:t>
      </w:r>
      <w:r w:rsidR="00762115">
        <w:rPr>
          <w:color w:val="auto"/>
          <w:sz w:val="22"/>
          <w:szCs w:val="22"/>
        </w:rPr>
        <w:t xml:space="preserve"> Group</w:t>
      </w:r>
      <w:r w:rsidRPr="00202594">
        <w:rPr>
          <w:color w:val="auto"/>
          <w:sz w:val="22"/>
          <w:szCs w:val="22"/>
        </w:rPr>
        <w:t>, Q3 2014</w:t>
      </w:r>
    </w:p>
    <w:p w:rsidR="00783C29" w:rsidRDefault="00E0533F" w:rsidP="00783C29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0600750E">
            <wp:extent cx="5908964" cy="2320178"/>
            <wp:effectExtent l="0" t="0" r="0" b="4445"/>
            <wp:docPr id="3" name="Picture 3" descr="This chart provides a breakdown of the Employment rates, High Skilled Employment rates and Unemployment rates for the working age population and young population.&#10;&#10;A table at the end of this document includes all the data presented in this chart." title="Economic Activity by Qualification and Age Group Q3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66" cy="23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769D" w:rsidRDefault="00546C00" w:rsidP="00C564C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there has been </w:t>
      </w:r>
      <w:r w:rsidR="00083E89">
        <w:rPr>
          <w:rFonts w:ascii="Arial" w:hAnsi="Arial" w:cs="Arial"/>
          <w:sz w:val="24"/>
          <w:szCs w:val="24"/>
        </w:rPr>
        <w:t>deterioration</w:t>
      </w:r>
      <w:r>
        <w:rPr>
          <w:rFonts w:ascii="Arial" w:hAnsi="Arial" w:cs="Arial"/>
          <w:sz w:val="24"/>
          <w:szCs w:val="24"/>
        </w:rPr>
        <w:t xml:space="preserve"> in graduate and postgraduate employment figures </w:t>
      </w:r>
      <w:r w:rsidR="00AF7676">
        <w:rPr>
          <w:rFonts w:ascii="Arial" w:hAnsi="Arial" w:cs="Arial"/>
          <w:sz w:val="24"/>
          <w:szCs w:val="24"/>
        </w:rPr>
        <w:t xml:space="preserve">(see </w:t>
      </w:r>
      <w:r w:rsidR="00F15D30">
        <w:rPr>
          <w:rFonts w:ascii="Arial" w:hAnsi="Arial" w:cs="Arial"/>
          <w:sz w:val="24"/>
          <w:szCs w:val="24"/>
        </w:rPr>
        <w:t>Tables 1.1 and 1.2</w:t>
      </w:r>
      <w:r w:rsidR="00AF7676">
        <w:rPr>
          <w:rFonts w:ascii="Arial" w:hAnsi="Arial" w:cs="Arial"/>
          <w:sz w:val="24"/>
          <w:szCs w:val="24"/>
        </w:rPr>
        <w:t xml:space="preserve">) </w:t>
      </w:r>
      <w:r w:rsidR="001D2329">
        <w:rPr>
          <w:rFonts w:ascii="Arial" w:hAnsi="Arial" w:cs="Arial"/>
          <w:sz w:val="24"/>
          <w:szCs w:val="24"/>
        </w:rPr>
        <w:t>from Q2 to Q3</w:t>
      </w:r>
      <w:r>
        <w:rPr>
          <w:rFonts w:ascii="Arial" w:hAnsi="Arial" w:cs="Arial"/>
          <w:sz w:val="24"/>
          <w:szCs w:val="24"/>
        </w:rPr>
        <w:t xml:space="preserve">, </w:t>
      </w:r>
      <w:r w:rsidR="00783C29">
        <w:rPr>
          <w:rFonts w:ascii="Arial" w:hAnsi="Arial" w:cs="Arial"/>
          <w:sz w:val="24"/>
          <w:szCs w:val="24"/>
        </w:rPr>
        <w:t xml:space="preserve">this </w:t>
      </w:r>
      <w:r w:rsidR="00A7718D">
        <w:rPr>
          <w:rFonts w:ascii="Arial" w:hAnsi="Arial" w:cs="Arial"/>
          <w:sz w:val="24"/>
          <w:szCs w:val="24"/>
        </w:rPr>
        <w:t>appears to be</w:t>
      </w:r>
      <w:r w:rsidR="00083E89">
        <w:rPr>
          <w:rFonts w:ascii="Arial" w:hAnsi="Arial" w:cs="Arial"/>
          <w:sz w:val="24"/>
          <w:szCs w:val="24"/>
        </w:rPr>
        <w:t xml:space="preserve"> broadly</w:t>
      </w:r>
      <w:r w:rsidR="00783C29">
        <w:rPr>
          <w:rFonts w:ascii="Arial" w:hAnsi="Arial" w:cs="Arial"/>
          <w:sz w:val="24"/>
          <w:szCs w:val="24"/>
        </w:rPr>
        <w:t xml:space="preserve"> </w:t>
      </w:r>
      <w:r w:rsidR="00083E89">
        <w:rPr>
          <w:rFonts w:ascii="Arial" w:hAnsi="Arial" w:cs="Arial"/>
          <w:sz w:val="24"/>
          <w:szCs w:val="24"/>
        </w:rPr>
        <w:t>the result of</w:t>
      </w:r>
      <w:r w:rsidR="00783C29">
        <w:rPr>
          <w:rFonts w:ascii="Arial" w:hAnsi="Arial" w:cs="Arial"/>
          <w:sz w:val="24"/>
          <w:szCs w:val="24"/>
        </w:rPr>
        <w:t xml:space="preserve"> the usual Q3 inf</w:t>
      </w:r>
      <w:r>
        <w:rPr>
          <w:rFonts w:ascii="Arial" w:hAnsi="Arial" w:cs="Arial"/>
          <w:sz w:val="24"/>
          <w:szCs w:val="24"/>
        </w:rPr>
        <w:t>lux of new graduates</w:t>
      </w:r>
      <w:r w:rsidR="00262331">
        <w:rPr>
          <w:rFonts w:ascii="Arial" w:hAnsi="Arial" w:cs="Arial"/>
          <w:sz w:val="24"/>
          <w:szCs w:val="24"/>
        </w:rPr>
        <w:t xml:space="preserve"> </w:t>
      </w:r>
      <w:r w:rsidR="007E29C7">
        <w:rPr>
          <w:rFonts w:ascii="Arial" w:hAnsi="Arial" w:cs="Arial"/>
          <w:sz w:val="24"/>
          <w:szCs w:val="24"/>
        </w:rPr>
        <w:t>who</w:t>
      </w:r>
      <w:r w:rsidR="00262331">
        <w:rPr>
          <w:rFonts w:ascii="Arial" w:hAnsi="Arial" w:cs="Arial"/>
          <w:sz w:val="24"/>
          <w:szCs w:val="24"/>
        </w:rPr>
        <w:t xml:space="preserve"> completed their studies</w:t>
      </w:r>
      <w:r>
        <w:rPr>
          <w:rFonts w:ascii="Arial" w:hAnsi="Arial" w:cs="Arial"/>
          <w:sz w:val="24"/>
          <w:szCs w:val="24"/>
        </w:rPr>
        <w:t xml:space="preserve"> over the summer period.</w:t>
      </w:r>
      <w:r w:rsidR="001F769D">
        <w:rPr>
          <w:rFonts w:ascii="Arial" w:hAnsi="Arial" w:cs="Arial"/>
          <w:sz w:val="24"/>
          <w:szCs w:val="24"/>
        </w:rPr>
        <w:t xml:space="preserve"> These new graduates often ha</w:t>
      </w:r>
      <w:r w:rsidR="00590831">
        <w:rPr>
          <w:rFonts w:ascii="Arial" w:hAnsi="Arial" w:cs="Arial"/>
          <w:sz w:val="24"/>
          <w:szCs w:val="24"/>
        </w:rPr>
        <w:t>ve limited work experience and</w:t>
      </w:r>
      <w:r w:rsidR="001F769D">
        <w:rPr>
          <w:rFonts w:ascii="Arial" w:hAnsi="Arial" w:cs="Arial"/>
          <w:sz w:val="24"/>
          <w:szCs w:val="24"/>
        </w:rPr>
        <w:t xml:space="preserve"> may </w:t>
      </w:r>
      <w:r w:rsidR="00083E89">
        <w:rPr>
          <w:rFonts w:ascii="Arial" w:hAnsi="Arial" w:cs="Arial"/>
          <w:sz w:val="24"/>
          <w:szCs w:val="24"/>
        </w:rPr>
        <w:t xml:space="preserve">initially </w:t>
      </w:r>
      <w:r w:rsidR="001F769D">
        <w:rPr>
          <w:rFonts w:ascii="Arial" w:hAnsi="Arial" w:cs="Arial"/>
          <w:sz w:val="24"/>
          <w:szCs w:val="24"/>
        </w:rPr>
        <w:t xml:space="preserve">experience unemployment or command lower wages, </w:t>
      </w:r>
      <w:r w:rsidR="00A7718D">
        <w:rPr>
          <w:rFonts w:ascii="Arial" w:hAnsi="Arial" w:cs="Arial"/>
          <w:sz w:val="24"/>
          <w:szCs w:val="24"/>
        </w:rPr>
        <w:t>reducing</w:t>
      </w:r>
      <w:r w:rsidR="001F769D">
        <w:rPr>
          <w:rFonts w:ascii="Arial" w:hAnsi="Arial" w:cs="Arial"/>
          <w:sz w:val="24"/>
          <w:szCs w:val="24"/>
        </w:rPr>
        <w:t xml:space="preserve"> Q3 </w:t>
      </w:r>
      <w:r w:rsidR="001D2329">
        <w:rPr>
          <w:rFonts w:ascii="Arial" w:hAnsi="Arial" w:cs="Arial"/>
          <w:sz w:val="24"/>
          <w:szCs w:val="24"/>
        </w:rPr>
        <w:t xml:space="preserve">employment and earnings outcomes </w:t>
      </w:r>
      <w:r w:rsidR="001F769D">
        <w:rPr>
          <w:rFonts w:ascii="Arial" w:hAnsi="Arial" w:cs="Arial"/>
          <w:sz w:val="24"/>
          <w:szCs w:val="24"/>
        </w:rPr>
        <w:t>across all graduate and postgraduate populations.</w:t>
      </w:r>
    </w:p>
    <w:p w:rsidR="00BA3410" w:rsidRDefault="007E29C7" w:rsidP="001D318B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should be noted that</w:t>
      </w:r>
      <w:r w:rsidR="00783C29">
        <w:rPr>
          <w:rFonts w:ascii="Arial" w:hAnsi="Arial" w:cs="Arial"/>
          <w:sz w:val="24"/>
          <w:szCs w:val="24"/>
        </w:rPr>
        <w:t xml:space="preserve"> employment </w:t>
      </w:r>
      <w:r w:rsidR="00126829">
        <w:rPr>
          <w:rFonts w:ascii="Arial" w:hAnsi="Arial" w:cs="Arial"/>
          <w:sz w:val="24"/>
          <w:szCs w:val="24"/>
        </w:rPr>
        <w:t>rates</w:t>
      </w:r>
      <w:r w:rsidR="00783C29">
        <w:rPr>
          <w:rFonts w:ascii="Arial" w:hAnsi="Arial" w:cs="Arial"/>
          <w:sz w:val="24"/>
          <w:szCs w:val="24"/>
        </w:rPr>
        <w:t xml:space="preserve"> include economically inactive</w:t>
      </w:r>
      <w:r w:rsidR="00590831">
        <w:rPr>
          <w:rFonts w:ascii="Arial" w:hAnsi="Arial" w:cs="Arial"/>
          <w:sz w:val="24"/>
          <w:szCs w:val="24"/>
        </w:rPr>
        <w:t xml:space="preserve"> individuals</w:t>
      </w:r>
      <w:r w:rsidR="00BA3410">
        <w:rPr>
          <w:rFonts w:ascii="Arial" w:hAnsi="Arial" w:cs="Arial"/>
          <w:sz w:val="24"/>
          <w:szCs w:val="24"/>
        </w:rPr>
        <w:t xml:space="preserve">. </w:t>
      </w:r>
      <w:r w:rsidR="00783C29">
        <w:rPr>
          <w:rFonts w:ascii="Arial" w:hAnsi="Arial" w:cs="Arial"/>
          <w:sz w:val="24"/>
          <w:szCs w:val="24"/>
        </w:rPr>
        <w:t>Thus the employment figures for</w:t>
      </w:r>
      <w:r w:rsidR="000D64A5">
        <w:rPr>
          <w:rFonts w:ascii="Arial" w:hAnsi="Arial" w:cs="Arial"/>
          <w:sz w:val="24"/>
          <w:szCs w:val="24"/>
        </w:rPr>
        <w:t xml:space="preserve"> </w:t>
      </w:r>
      <w:r w:rsidR="00783C29">
        <w:rPr>
          <w:rFonts w:ascii="Arial" w:hAnsi="Arial" w:cs="Arial"/>
          <w:sz w:val="24"/>
          <w:szCs w:val="24"/>
        </w:rPr>
        <w:t>graduates</w:t>
      </w:r>
      <w:r w:rsidR="00BA3410">
        <w:rPr>
          <w:rFonts w:ascii="Arial" w:hAnsi="Arial" w:cs="Arial"/>
          <w:sz w:val="24"/>
          <w:szCs w:val="24"/>
        </w:rPr>
        <w:t xml:space="preserve"> and non-graduates will include </w:t>
      </w:r>
      <w:r w:rsidR="00590831">
        <w:rPr>
          <w:rFonts w:ascii="Arial" w:hAnsi="Arial" w:cs="Arial"/>
          <w:sz w:val="24"/>
          <w:szCs w:val="24"/>
        </w:rPr>
        <w:t>people</w:t>
      </w:r>
      <w:r w:rsidR="00BA3410">
        <w:rPr>
          <w:rFonts w:ascii="Arial" w:hAnsi="Arial" w:cs="Arial"/>
          <w:sz w:val="24"/>
          <w:szCs w:val="24"/>
        </w:rPr>
        <w:t xml:space="preserve"> studying </w:t>
      </w:r>
      <w:r w:rsidR="005F61A7">
        <w:rPr>
          <w:rFonts w:ascii="Arial" w:hAnsi="Arial" w:cs="Arial"/>
          <w:sz w:val="24"/>
          <w:szCs w:val="24"/>
        </w:rPr>
        <w:t xml:space="preserve">for other (typically </w:t>
      </w:r>
      <w:r w:rsidR="00BA3410">
        <w:rPr>
          <w:rFonts w:ascii="Arial" w:hAnsi="Arial" w:cs="Arial"/>
          <w:sz w:val="24"/>
          <w:szCs w:val="24"/>
        </w:rPr>
        <w:t>higher level</w:t>
      </w:r>
      <w:r w:rsidR="005F61A7">
        <w:rPr>
          <w:rFonts w:ascii="Arial" w:hAnsi="Arial" w:cs="Arial"/>
          <w:sz w:val="24"/>
          <w:szCs w:val="24"/>
        </w:rPr>
        <w:t>)</w:t>
      </w:r>
      <w:r w:rsidR="00BA3410">
        <w:rPr>
          <w:rFonts w:ascii="Arial" w:hAnsi="Arial" w:cs="Arial"/>
          <w:sz w:val="24"/>
          <w:szCs w:val="24"/>
        </w:rPr>
        <w:t xml:space="preserve"> qualifications, who are less likely to be employed. This lower</w:t>
      </w:r>
      <w:r>
        <w:rPr>
          <w:rFonts w:ascii="Arial" w:hAnsi="Arial" w:cs="Arial"/>
          <w:sz w:val="24"/>
          <w:szCs w:val="24"/>
        </w:rPr>
        <w:t>s</w:t>
      </w:r>
      <w:r w:rsidR="00BA3410">
        <w:rPr>
          <w:rFonts w:ascii="Arial" w:hAnsi="Arial" w:cs="Arial"/>
          <w:sz w:val="24"/>
          <w:szCs w:val="24"/>
        </w:rPr>
        <w:t xml:space="preserve"> the average employment rate for these group</w:t>
      </w:r>
      <w:r>
        <w:rPr>
          <w:rFonts w:ascii="Arial" w:hAnsi="Arial" w:cs="Arial"/>
          <w:sz w:val="24"/>
          <w:szCs w:val="24"/>
        </w:rPr>
        <w:t>s</w:t>
      </w:r>
      <w:r w:rsidR="00762115">
        <w:rPr>
          <w:rFonts w:ascii="Arial" w:hAnsi="Arial" w:cs="Arial"/>
          <w:sz w:val="24"/>
          <w:szCs w:val="24"/>
        </w:rPr>
        <w:t>—</w:t>
      </w:r>
      <w:r w:rsidR="00BA3410">
        <w:rPr>
          <w:rFonts w:ascii="Arial" w:hAnsi="Arial" w:cs="Arial"/>
          <w:sz w:val="24"/>
          <w:szCs w:val="24"/>
        </w:rPr>
        <w:t xml:space="preserve">particularly </w:t>
      </w:r>
      <w:r>
        <w:rPr>
          <w:rFonts w:ascii="Arial" w:hAnsi="Arial" w:cs="Arial"/>
          <w:sz w:val="24"/>
          <w:szCs w:val="24"/>
        </w:rPr>
        <w:t>for the</w:t>
      </w:r>
      <w:r w:rsidR="00BA3410">
        <w:rPr>
          <w:rFonts w:ascii="Arial" w:hAnsi="Arial" w:cs="Arial"/>
          <w:sz w:val="24"/>
          <w:szCs w:val="24"/>
        </w:rPr>
        <w:t xml:space="preserve"> young non-graduate population</w:t>
      </w:r>
      <w:r w:rsidR="00762115">
        <w:rPr>
          <w:rFonts w:ascii="Arial" w:hAnsi="Arial" w:cs="Arial"/>
          <w:sz w:val="24"/>
          <w:szCs w:val="24"/>
        </w:rPr>
        <w:t>,</w:t>
      </w:r>
      <w:r w:rsidR="00BA3410">
        <w:rPr>
          <w:rFonts w:ascii="Arial" w:hAnsi="Arial" w:cs="Arial"/>
          <w:sz w:val="24"/>
          <w:szCs w:val="24"/>
        </w:rPr>
        <w:t xml:space="preserve"> as </w:t>
      </w:r>
      <w:r>
        <w:rPr>
          <w:rFonts w:ascii="Arial" w:hAnsi="Arial" w:cs="Arial"/>
          <w:sz w:val="24"/>
          <w:szCs w:val="24"/>
        </w:rPr>
        <w:t>individuals</w:t>
      </w:r>
      <w:r w:rsidR="00BA3410">
        <w:rPr>
          <w:rFonts w:ascii="Arial" w:hAnsi="Arial" w:cs="Arial"/>
          <w:sz w:val="24"/>
          <w:szCs w:val="24"/>
        </w:rPr>
        <w:t xml:space="preserve"> studying for undergraduate degree</w:t>
      </w:r>
      <w:r>
        <w:rPr>
          <w:rFonts w:ascii="Arial" w:hAnsi="Arial" w:cs="Arial"/>
          <w:sz w:val="24"/>
          <w:szCs w:val="24"/>
        </w:rPr>
        <w:t>s</w:t>
      </w:r>
      <w:r w:rsidR="00BA3410">
        <w:rPr>
          <w:rFonts w:ascii="Arial" w:hAnsi="Arial" w:cs="Arial"/>
          <w:sz w:val="24"/>
          <w:szCs w:val="24"/>
        </w:rPr>
        <w:t xml:space="preserve"> will be classified in this group.</w:t>
      </w:r>
    </w:p>
    <w:p w:rsidR="005947E1" w:rsidRPr="000057E2" w:rsidRDefault="0080675A" w:rsidP="001D318B">
      <w:pPr>
        <w:pStyle w:val="ListParagraph"/>
        <w:numPr>
          <w:ilvl w:val="0"/>
          <w:numId w:val="2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0057E2">
        <w:rPr>
          <w:rFonts w:ascii="Arial" w:hAnsi="Arial" w:cs="Arial"/>
          <w:b/>
          <w:sz w:val="24"/>
          <w:szCs w:val="24"/>
        </w:rPr>
        <w:t>Annual Earnings</w:t>
      </w:r>
      <w:r w:rsidR="00614A68" w:rsidRPr="000057E2">
        <w:rPr>
          <w:rFonts w:ascii="Arial" w:hAnsi="Arial" w:cs="Arial"/>
          <w:b/>
          <w:sz w:val="24"/>
          <w:szCs w:val="24"/>
        </w:rPr>
        <w:t xml:space="preserve"> across the Working Age Population</w:t>
      </w:r>
      <w:r w:rsidR="00394940" w:rsidRPr="000057E2">
        <w:rPr>
          <w:rFonts w:ascii="Arial" w:hAnsi="Arial" w:cs="Arial"/>
          <w:b/>
          <w:sz w:val="24"/>
          <w:szCs w:val="24"/>
        </w:rPr>
        <w:t xml:space="preserve"> (ages 16-64)</w:t>
      </w:r>
    </w:p>
    <w:p w:rsidR="0080675A" w:rsidRDefault="0034037B" w:rsidP="00C564C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Graduates and postgraduates enjoy large earnings premiums </w:t>
      </w:r>
      <w:r w:rsidR="00BA3410">
        <w:rPr>
          <w:rFonts w:ascii="Arial" w:hAnsi="Arial" w:cs="Arial"/>
          <w:sz w:val="24"/>
          <w:szCs w:val="24"/>
        </w:rPr>
        <w:t>compared to</w:t>
      </w:r>
      <w:r>
        <w:rPr>
          <w:rFonts w:ascii="Arial" w:hAnsi="Arial" w:cs="Arial"/>
          <w:sz w:val="24"/>
          <w:szCs w:val="24"/>
        </w:rPr>
        <w:t xml:space="preserve"> </w:t>
      </w:r>
      <w:r w:rsidR="00550511">
        <w:rPr>
          <w:rFonts w:ascii="Arial" w:hAnsi="Arial" w:cs="Arial"/>
          <w:sz w:val="24"/>
          <w:szCs w:val="24"/>
        </w:rPr>
        <w:t>non-graduates</w:t>
      </w:r>
      <w:r>
        <w:rPr>
          <w:rFonts w:ascii="Arial" w:hAnsi="Arial" w:cs="Arial"/>
          <w:sz w:val="24"/>
          <w:szCs w:val="24"/>
        </w:rPr>
        <w:t xml:space="preserve">. </w:t>
      </w:r>
      <w:r w:rsidR="000639F7">
        <w:rPr>
          <w:rFonts w:ascii="Arial" w:hAnsi="Arial" w:cs="Arial"/>
          <w:sz w:val="24"/>
          <w:szCs w:val="24"/>
        </w:rPr>
        <w:t xml:space="preserve">At £31,000 the </w:t>
      </w:r>
      <w:r w:rsidR="0080675A">
        <w:rPr>
          <w:rFonts w:ascii="Arial" w:hAnsi="Arial" w:cs="Arial"/>
          <w:sz w:val="24"/>
          <w:szCs w:val="24"/>
        </w:rPr>
        <w:t xml:space="preserve">median </w:t>
      </w:r>
      <w:r w:rsidR="00BA3410" w:rsidRPr="00762115">
        <w:rPr>
          <w:rFonts w:ascii="Arial" w:hAnsi="Arial" w:cs="Arial"/>
          <w:sz w:val="24"/>
          <w:szCs w:val="24"/>
        </w:rPr>
        <w:t>gross</w:t>
      </w:r>
      <w:r w:rsidR="00BA3410">
        <w:rPr>
          <w:rFonts w:ascii="Arial" w:hAnsi="Arial" w:cs="Arial"/>
          <w:sz w:val="24"/>
          <w:szCs w:val="24"/>
        </w:rPr>
        <w:t xml:space="preserve"> </w:t>
      </w:r>
      <w:r w:rsidR="000639F7">
        <w:rPr>
          <w:rFonts w:ascii="Arial" w:hAnsi="Arial" w:cs="Arial"/>
          <w:sz w:val="24"/>
          <w:szCs w:val="24"/>
        </w:rPr>
        <w:t xml:space="preserve">annual earnings of full-time employed, </w:t>
      </w:r>
      <w:r w:rsidR="000639F7">
        <w:rPr>
          <w:rFonts w:ascii="Arial" w:hAnsi="Arial" w:cs="Arial"/>
          <w:sz w:val="24"/>
          <w:szCs w:val="24"/>
        </w:rPr>
        <w:lastRenderedPageBreak/>
        <w:t xml:space="preserve">working-age graduates stand £9,000 above those </w:t>
      </w:r>
      <w:r w:rsidR="0080675A">
        <w:rPr>
          <w:rFonts w:ascii="Arial" w:hAnsi="Arial" w:cs="Arial"/>
          <w:sz w:val="24"/>
          <w:szCs w:val="24"/>
        </w:rPr>
        <w:t xml:space="preserve">of individuals without a degree. Full-time employed, working-age postgraduates </w:t>
      </w:r>
      <w:r w:rsidR="005F61A7">
        <w:rPr>
          <w:rFonts w:ascii="Arial" w:hAnsi="Arial" w:cs="Arial"/>
          <w:sz w:val="24"/>
          <w:szCs w:val="24"/>
        </w:rPr>
        <w:t xml:space="preserve">earn </w:t>
      </w:r>
      <w:r w:rsidR="00C05895">
        <w:rPr>
          <w:rFonts w:ascii="Arial" w:hAnsi="Arial" w:cs="Arial"/>
          <w:sz w:val="24"/>
          <w:szCs w:val="24"/>
        </w:rPr>
        <w:t xml:space="preserve">an additional </w:t>
      </w:r>
      <w:proofErr w:type="gramStart"/>
      <w:r w:rsidR="00C05895">
        <w:rPr>
          <w:rFonts w:ascii="Arial" w:hAnsi="Arial" w:cs="Arial"/>
          <w:sz w:val="24"/>
          <w:szCs w:val="24"/>
        </w:rPr>
        <w:t>premium</w:t>
      </w:r>
      <w:r w:rsidR="0080675A">
        <w:rPr>
          <w:rFonts w:ascii="Arial" w:hAnsi="Arial" w:cs="Arial"/>
          <w:sz w:val="24"/>
          <w:szCs w:val="24"/>
        </w:rPr>
        <w:t>,</w:t>
      </w:r>
      <w:proofErr w:type="gramEnd"/>
      <w:r w:rsidR="0080675A">
        <w:rPr>
          <w:rFonts w:ascii="Arial" w:hAnsi="Arial" w:cs="Arial"/>
          <w:sz w:val="24"/>
          <w:szCs w:val="24"/>
        </w:rPr>
        <w:t xml:space="preserve"> with median </w:t>
      </w:r>
      <w:r w:rsidR="00C05895" w:rsidRPr="00762115">
        <w:rPr>
          <w:rFonts w:ascii="Arial" w:hAnsi="Arial" w:cs="Arial"/>
          <w:sz w:val="24"/>
          <w:szCs w:val="24"/>
        </w:rPr>
        <w:t>gross</w:t>
      </w:r>
      <w:r w:rsidR="00C05895">
        <w:rPr>
          <w:rFonts w:ascii="Arial" w:hAnsi="Arial" w:cs="Arial"/>
          <w:sz w:val="24"/>
          <w:szCs w:val="24"/>
        </w:rPr>
        <w:t xml:space="preserve"> </w:t>
      </w:r>
      <w:r w:rsidR="0080675A">
        <w:rPr>
          <w:rFonts w:ascii="Arial" w:hAnsi="Arial" w:cs="Arial"/>
          <w:sz w:val="24"/>
          <w:szCs w:val="24"/>
        </w:rPr>
        <w:t>annual earnings of £40,000</w:t>
      </w:r>
      <w:r w:rsidR="00D57199">
        <w:rPr>
          <w:rFonts w:ascii="Arial" w:hAnsi="Arial" w:cs="Arial"/>
          <w:sz w:val="24"/>
          <w:szCs w:val="24"/>
        </w:rPr>
        <w:t xml:space="preserve"> (see Tables 1.1 and 1.2)</w:t>
      </w:r>
      <w:r w:rsidR="0080675A">
        <w:rPr>
          <w:rFonts w:ascii="Arial" w:hAnsi="Arial" w:cs="Arial"/>
          <w:sz w:val="24"/>
          <w:szCs w:val="24"/>
        </w:rPr>
        <w:t xml:space="preserve">. </w:t>
      </w:r>
    </w:p>
    <w:p w:rsidR="008F5287" w:rsidRDefault="008F5287" w:rsidP="00881FA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Trends in annual earnings across the working age population have been mixed. This quarter’s data showed a year-on-year decline of £1,000 for graduates and zero nominal earnings growth for non-graduates, while postgraduates saw a £1,500 increase in annual earnings</w:t>
      </w:r>
      <w:r w:rsidR="00453E88">
        <w:rPr>
          <w:rFonts w:ascii="Arial" w:hAnsi="Arial" w:cs="Arial"/>
          <w:sz w:val="24"/>
          <w:szCs w:val="24"/>
        </w:rPr>
        <w:t xml:space="preserve"> compared to this time last year.</w:t>
      </w:r>
    </w:p>
    <w:p w:rsidR="00614A68" w:rsidRPr="00614A68" w:rsidRDefault="00614A68" w:rsidP="00C564C8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Arial" w:hAnsi="Arial" w:cs="Arial"/>
          <w:b/>
          <w:sz w:val="24"/>
          <w:szCs w:val="24"/>
        </w:rPr>
      </w:pPr>
      <w:r w:rsidRPr="00614A68">
        <w:rPr>
          <w:rFonts w:ascii="Arial" w:hAnsi="Arial" w:cs="Arial"/>
          <w:b/>
          <w:sz w:val="24"/>
          <w:szCs w:val="24"/>
        </w:rPr>
        <w:t>Annual Earnings across the Young Population</w:t>
      </w:r>
      <w:r w:rsidR="00394940">
        <w:rPr>
          <w:rFonts w:ascii="Arial" w:hAnsi="Arial" w:cs="Arial"/>
          <w:b/>
          <w:sz w:val="24"/>
          <w:szCs w:val="24"/>
        </w:rPr>
        <w:t xml:space="preserve"> (ages 21-30)</w:t>
      </w:r>
    </w:p>
    <w:p w:rsidR="00DD4CBB" w:rsidRDefault="00394940" w:rsidP="00C564C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80675A">
        <w:rPr>
          <w:rFonts w:ascii="Arial" w:hAnsi="Arial" w:cs="Arial"/>
          <w:sz w:val="24"/>
          <w:szCs w:val="24"/>
        </w:rPr>
        <w:t xml:space="preserve">oung graduates </w:t>
      </w:r>
      <w:r>
        <w:rPr>
          <w:rFonts w:ascii="Arial" w:hAnsi="Arial" w:cs="Arial"/>
          <w:sz w:val="24"/>
          <w:szCs w:val="24"/>
        </w:rPr>
        <w:t xml:space="preserve">earn £6,000 more than their non-graduate peers, with gross annual earnings of £24,500 and </w:t>
      </w:r>
      <w:r w:rsidR="008B1DF2">
        <w:rPr>
          <w:rFonts w:ascii="Arial" w:hAnsi="Arial" w:cs="Arial"/>
          <w:sz w:val="24"/>
          <w:szCs w:val="24"/>
        </w:rPr>
        <w:t>£18,500</w:t>
      </w:r>
      <w:r w:rsidR="007C62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respectively</w:t>
      </w:r>
      <w:r w:rsidR="0080596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is a smaller premium than exists in the working-age population, likely du</w:t>
      </w:r>
      <w:r w:rsidR="00312DA5">
        <w:rPr>
          <w:rFonts w:ascii="Arial" w:hAnsi="Arial" w:cs="Arial"/>
          <w:sz w:val="24"/>
          <w:szCs w:val="24"/>
        </w:rPr>
        <w:t>e to the relative inexperience of young graduates.</w:t>
      </w:r>
      <w:r w:rsidR="00805969">
        <w:rPr>
          <w:rFonts w:ascii="Arial" w:hAnsi="Arial" w:cs="Arial"/>
          <w:sz w:val="24"/>
          <w:szCs w:val="24"/>
        </w:rPr>
        <w:t xml:space="preserve"> Likewise, at £28,00</w:t>
      </w:r>
      <w:r w:rsidR="004D267F">
        <w:rPr>
          <w:rFonts w:ascii="Arial" w:hAnsi="Arial" w:cs="Arial"/>
          <w:sz w:val="24"/>
          <w:szCs w:val="24"/>
        </w:rPr>
        <w:t>0 per year young postgraduates also see a smaller earnings</w:t>
      </w:r>
      <w:r w:rsidR="00805969">
        <w:rPr>
          <w:rFonts w:ascii="Arial" w:hAnsi="Arial" w:cs="Arial"/>
          <w:sz w:val="24"/>
          <w:szCs w:val="24"/>
        </w:rPr>
        <w:t xml:space="preserve"> benefit over </w:t>
      </w:r>
      <w:r w:rsidR="00BB6D6D">
        <w:rPr>
          <w:rFonts w:ascii="Arial" w:hAnsi="Arial" w:cs="Arial"/>
          <w:sz w:val="24"/>
          <w:szCs w:val="24"/>
        </w:rPr>
        <w:t xml:space="preserve">young </w:t>
      </w:r>
      <w:r w:rsidR="004D267F">
        <w:rPr>
          <w:rFonts w:ascii="Arial" w:hAnsi="Arial" w:cs="Arial"/>
          <w:sz w:val="24"/>
          <w:szCs w:val="24"/>
        </w:rPr>
        <w:t>graduates</w:t>
      </w:r>
      <w:r w:rsidR="005F61A7">
        <w:rPr>
          <w:rFonts w:ascii="Arial" w:hAnsi="Arial" w:cs="Arial"/>
          <w:sz w:val="24"/>
          <w:szCs w:val="24"/>
        </w:rPr>
        <w:t xml:space="preserve"> than among the working-age population</w:t>
      </w:r>
      <w:r w:rsidR="00805969">
        <w:rPr>
          <w:rFonts w:ascii="Arial" w:hAnsi="Arial" w:cs="Arial"/>
          <w:sz w:val="24"/>
          <w:szCs w:val="24"/>
        </w:rPr>
        <w:t xml:space="preserve">, but </w:t>
      </w:r>
      <w:r w:rsidR="00312DA5">
        <w:rPr>
          <w:rFonts w:ascii="Arial" w:hAnsi="Arial" w:cs="Arial"/>
          <w:sz w:val="24"/>
          <w:szCs w:val="24"/>
        </w:rPr>
        <w:t>this is unsurprising as</w:t>
      </w:r>
      <w:r w:rsidR="004D267F">
        <w:rPr>
          <w:rFonts w:ascii="Arial" w:hAnsi="Arial" w:cs="Arial"/>
          <w:sz w:val="24"/>
          <w:szCs w:val="24"/>
        </w:rPr>
        <w:t xml:space="preserve"> their additional years of study </w:t>
      </w:r>
      <w:r w:rsidR="00312DA5">
        <w:rPr>
          <w:rFonts w:ascii="Arial" w:hAnsi="Arial" w:cs="Arial"/>
          <w:sz w:val="24"/>
          <w:szCs w:val="24"/>
        </w:rPr>
        <w:t>mean they’ve had</w:t>
      </w:r>
      <w:r w:rsidR="00805969">
        <w:rPr>
          <w:rFonts w:ascii="Arial" w:hAnsi="Arial" w:cs="Arial"/>
          <w:sz w:val="24"/>
          <w:szCs w:val="24"/>
        </w:rPr>
        <w:t xml:space="preserve"> even less time to </w:t>
      </w:r>
      <w:r w:rsidR="00312DA5">
        <w:rPr>
          <w:rFonts w:ascii="Arial" w:hAnsi="Arial" w:cs="Arial"/>
          <w:sz w:val="24"/>
          <w:szCs w:val="24"/>
        </w:rPr>
        <w:t>gain</w:t>
      </w:r>
      <w:r w:rsidR="004D267F">
        <w:rPr>
          <w:rFonts w:ascii="Arial" w:hAnsi="Arial" w:cs="Arial"/>
          <w:sz w:val="24"/>
          <w:szCs w:val="24"/>
        </w:rPr>
        <w:t xml:space="preserve"> </w:t>
      </w:r>
      <w:r w:rsidR="00312DA5">
        <w:rPr>
          <w:rFonts w:ascii="Arial" w:hAnsi="Arial" w:cs="Arial"/>
          <w:sz w:val="24"/>
          <w:szCs w:val="24"/>
        </w:rPr>
        <w:t>work experience</w:t>
      </w:r>
      <w:r w:rsidR="004D267F">
        <w:rPr>
          <w:rFonts w:ascii="Arial" w:hAnsi="Arial" w:cs="Arial"/>
          <w:sz w:val="24"/>
          <w:szCs w:val="24"/>
        </w:rPr>
        <w:t>.</w:t>
      </w:r>
      <w:r w:rsidR="00DD4CBB" w:rsidRPr="00DD4CBB">
        <w:rPr>
          <w:rFonts w:ascii="Arial" w:hAnsi="Arial" w:cs="Arial"/>
          <w:sz w:val="24"/>
          <w:szCs w:val="24"/>
        </w:rPr>
        <w:t xml:space="preserve"> </w:t>
      </w:r>
    </w:p>
    <w:p w:rsidR="00003F7D" w:rsidRDefault="00C657B8" w:rsidP="00C564C8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Across the young population</w:t>
      </w:r>
      <w:r w:rsidR="00003F7D">
        <w:rPr>
          <w:rFonts w:ascii="Arial" w:hAnsi="Arial" w:cs="Arial"/>
          <w:sz w:val="24"/>
          <w:szCs w:val="24"/>
        </w:rPr>
        <w:t>, this quarter’s data show</w:t>
      </w:r>
      <w:r>
        <w:rPr>
          <w:rFonts w:ascii="Arial" w:hAnsi="Arial" w:cs="Arial"/>
          <w:sz w:val="24"/>
          <w:szCs w:val="24"/>
        </w:rPr>
        <w:t>s</w:t>
      </w:r>
      <w:r w:rsidR="00003F7D">
        <w:rPr>
          <w:rFonts w:ascii="Arial" w:hAnsi="Arial" w:cs="Arial"/>
          <w:sz w:val="24"/>
          <w:szCs w:val="24"/>
        </w:rPr>
        <w:t xml:space="preserve"> positive </w:t>
      </w:r>
      <w:r>
        <w:rPr>
          <w:rFonts w:ascii="Arial" w:hAnsi="Arial" w:cs="Arial"/>
          <w:sz w:val="24"/>
          <w:szCs w:val="24"/>
        </w:rPr>
        <w:t xml:space="preserve">year-on-year </w:t>
      </w:r>
      <w:r w:rsidR="00DD4CBB">
        <w:rPr>
          <w:rFonts w:ascii="Arial" w:hAnsi="Arial" w:cs="Arial"/>
          <w:sz w:val="24"/>
          <w:szCs w:val="24"/>
        </w:rPr>
        <w:t>trend</w:t>
      </w:r>
      <w:r w:rsidR="00312DA5">
        <w:rPr>
          <w:rFonts w:ascii="Arial" w:hAnsi="Arial" w:cs="Arial"/>
          <w:sz w:val="24"/>
          <w:szCs w:val="24"/>
        </w:rPr>
        <w:t>s</w:t>
      </w:r>
      <w:r w:rsidR="00DD4CBB">
        <w:rPr>
          <w:rFonts w:ascii="Arial" w:hAnsi="Arial" w:cs="Arial"/>
          <w:sz w:val="24"/>
          <w:szCs w:val="24"/>
        </w:rPr>
        <w:t xml:space="preserve"> in nominal earnings</w:t>
      </w:r>
      <w:r w:rsidR="00003F7D">
        <w:rPr>
          <w:rFonts w:ascii="Arial" w:hAnsi="Arial" w:cs="Arial"/>
          <w:sz w:val="24"/>
          <w:szCs w:val="24"/>
        </w:rPr>
        <w:t>. Compared to Q3 2013, a</w:t>
      </w:r>
      <w:r w:rsidR="00DD4CBB">
        <w:rPr>
          <w:rFonts w:ascii="Arial" w:hAnsi="Arial" w:cs="Arial"/>
          <w:sz w:val="24"/>
          <w:szCs w:val="24"/>
        </w:rPr>
        <w:t>nnual earnings are up £1,500 and £1,000 for young graduates and</w:t>
      </w:r>
      <w:r>
        <w:rPr>
          <w:rFonts w:ascii="Arial" w:hAnsi="Arial" w:cs="Arial"/>
          <w:sz w:val="24"/>
          <w:szCs w:val="24"/>
        </w:rPr>
        <w:t xml:space="preserve"> young</w:t>
      </w:r>
      <w:r w:rsidR="00DD4CBB">
        <w:rPr>
          <w:rFonts w:ascii="Arial" w:hAnsi="Arial" w:cs="Arial"/>
          <w:sz w:val="24"/>
          <w:szCs w:val="24"/>
        </w:rPr>
        <w:t xml:space="preserve"> postgraduates respectively, while those for young </w:t>
      </w:r>
      <w:r w:rsidR="00003F7D">
        <w:rPr>
          <w:rFonts w:ascii="Arial" w:hAnsi="Arial" w:cs="Arial"/>
          <w:sz w:val="24"/>
          <w:szCs w:val="24"/>
        </w:rPr>
        <w:t xml:space="preserve">non-graduates </w:t>
      </w:r>
      <w:r w:rsidR="00DD4CBB">
        <w:rPr>
          <w:rFonts w:ascii="Arial" w:hAnsi="Arial" w:cs="Arial"/>
          <w:sz w:val="24"/>
          <w:szCs w:val="24"/>
        </w:rPr>
        <w:t xml:space="preserve">are also up £1,000. </w:t>
      </w:r>
    </w:p>
    <w:p w:rsidR="008C6CF8" w:rsidRPr="00202594" w:rsidRDefault="008C6CF8" w:rsidP="00202594">
      <w:pPr>
        <w:pStyle w:val="Caption"/>
        <w:keepNext/>
        <w:rPr>
          <w:color w:val="auto"/>
          <w:sz w:val="22"/>
          <w:szCs w:val="22"/>
        </w:rPr>
      </w:pPr>
      <w:proofErr w:type="gramStart"/>
      <w:r w:rsidRPr="00202594">
        <w:rPr>
          <w:color w:val="auto"/>
          <w:sz w:val="22"/>
          <w:szCs w:val="22"/>
        </w:rPr>
        <w:t xml:space="preserve">Figure </w:t>
      </w:r>
      <w:r w:rsidR="008F5287">
        <w:rPr>
          <w:color w:val="auto"/>
          <w:sz w:val="22"/>
          <w:szCs w:val="22"/>
        </w:rPr>
        <w:t>2</w:t>
      </w:r>
      <w:r w:rsidRPr="00202594">
        <w:rPr>
          <w:color w:val="auto"/>
          <w:sz w:val="22"/>
          <w:szCs w:val="22"/>
        </w:rPr>
        <w:t>.</w:t>
      </w:r>
      <w:proofErr w:type="gramEnd"/>
      <w:r w:rsidRPr="00202594">
        <w:rPr>
          <w:color w:val="auto"/>
          <w:sz w:val="22"/>
          <w:szCs w:val="22"/>
        </w:rPr>
        <w:t xml:space="preserve"> </w:t>
      </w:r>
      <w:r w:rsidR="007C6242">
        <w:rPr>
          <w:color w:val="auto"/>
          <w:sz w:val="22"/>
          <w:szCs w:val="22"/>
        </w:rPr>
        <w:t xml:space="preserve">Median </w:t>
      </w:r>
      <w:r w:rsidR="007C6242" w:rsidRPr="002E4A8A">
        <w:rPr>
          <w:color w:val="auto"/>
          <w:sz w:val="22"/>
          <w:szCs w:val="22"/>
        </w:rPr>
        <w:t>Gross</w:t>
      </w:r>
      <w:r w:rsidR="007C6242">
        <w:rPr>
          <w:color w:val="auto"/>
          <w:sz w:val="22"/>
          <w:szCs w:val="22"/>
        </w:rPr>
        <w:t xml:space="preserve"> </w:t>
      </w:r>
      <w:r w:rsidRPr="00202594">
        <w:rPr>
          <w:color w:val="auto"/>
          <w:sz w:val="22"/>
          <w:szCs w:val="22"/>
        </w:rPr>
        <w:t>Annual Earnings by Qualification Level and Age, Q3 2014</w:t>
      </w:r>
    </w:p>
    <w:p w:rsidR="003344F8" w:rsidRDefault="00E0533F" w:rsidP="00FB292A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19C05F23" wp14:editId="040E70D9">
            <wp:extent cx="3830782" cy="2432641"/>
            <wp:effectExtent l="0" t="0" r="0" b="6350"/>
            <wp:docPr id="1" name="Picture 1" descr="This chart provides a breakdown of annual earnings for postgraduates, graduates and non-graduates for the working age population and young population.&#10;&#10;A table at the end of this document includes all the data presented in this chart." title="Median Gross Annual Earnings by Qualification level and age Q3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871" cy="243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292A" w:rsidRDefault="00FB292A" w:rsidP="00FB292A">
      <w:pPr>
        <w:keepNext/>
        <w:jc w:val="right"/>
        <w:sectPr w:rsidR="00FB292A" w:rsidSect="00444E4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  <w:r>
        <w:t>URN: BIS /14/1264</w:t>
      </w:r>
    </w:p>
    <w:p w:rsidR="001D2329" w:rsidRPr="001D2329" w:rsidRDefault="00DA609D" w:rsidP="001D2329">
      <w:pPr>
        <w:keepNext/>
        <w:jc w:val="center"/>
      </w:pPr>
      <w:r w:rsidRPr="00DA609D">
        <w:rPr>
          <w:noProof/>
          <w:lang w:eastAsia="en-GB"/>
        </w:rPr>
        <w:lastRenderedPageBreak/>
        <w:drawing>
          <wp:inline distT="0" distB="0" distL="0" distR="0" wp14:anchorId="0E7DC19F" wp14:editId="09799FF8">
            <wp:extent cx="8863330" cy="27647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6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9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AB135" wp14:editId="416CF600">
                <wp:simplePos x="0" y="0"/>
                <wp:positionH relativeFrom="column">
                  <wp:posOffset>0</wp:posOffset>
                </wp:positionH>
                <wp:positionV relativeFrom="paragraph">
                  <wp:posOffset>4170218</wp:posOffset>
                </wp:positionV>
                <wp:extent cx="8859866" cy="858982"/>
                <wp:effectExtent l="0" t="0" r="1778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9866" cy="858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C2" w:rsidRDefault="003C69C2" w:rsidP="003C69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D2329" w:rsidRPr="00E260BC" w:rsidRDefault="001D2329" w:rsidP="003C69C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60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next release of </w:t>
                            </w:r>
                            <w:r w:rsidRPr="00E260B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Graduate Labour Market Statistics</w:t>
                            </w:r>
                            <w:r w:rsidRPr="00E260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will be on 10</w:t>
                            </w:r>
                            <w:r w:rsidRPr="001D23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60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March, 2015.</w:t>
                            </w:r>
                          </w:p>
                          <w:p w:rsidR="001D2329" w:rsidRDefault="001D23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328.35pt;width:697.65pt;height:6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" strokecolor="black [3213]" strokeweight="1.5pt">
                <v:textbox>
                  <w:txbxContent>
                    <w:p w:rsidR="003C69C2" w:rsidRDefault="003C69C2" w:rsidP="003C69C2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D2329" w:rsidRPr="00E260BC" w:rsidRDefault="001D2329" w:rsidP="003C69C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60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next release of </w:t>
                      </w:r>
                      <w:r w:rsidRPr="00E260B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Graduate Labour Market Statistics</w:t>
                      </w:r>
                      <w:r w:rsidRPr="00E260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will be on 10</w:t>
                      </w:r>
                      <w:r w:rsidRPr="001D2329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260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March, 2015.</w:t>
                      </w:r>
                    </w:p>
                    <w:p w:rsidR="001D2329" w:rsidRDefault="001D2329"/>
                  </w:txbxContent>
                </v:textbox>
              </v:shape>
            </w:pict>
          </mc:Fallback>
        </mc:AlternateContent>
      </w:r>
      <w:r w:rsidR="003C69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63D3D" wp14:editId="3207FB78">
                <wp:simplePos x="0" y="0"/>
                <wp:positionH relativeFrom="column">
                  <wp:posOffset>177800</wp:posOffset>
                </wp:positionH>
                <wp:positionV relativeFrom="paragraph">
                  <wp:posOffset>7085330</wp:posOffset>
                </wp:positionV>
                <wp:extent cx="5572125" cy="508635"/>
                <wp:effectExtent l="0" t="0" r="28575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9C2" w:rsidRPr="00E260BC" w:rsidRDefault="003C69C2" w:rsidP="003C69C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60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next release of </w:t>
                            </w:r>
                            <w:r w:rsidRPr="00E260B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Graduate Labour Market Statistics</w:t>
                            </w:r>
                            <w:r w:rsidRPr="00E260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will be on 10</w:t>
                            </w:r>
                            <w:r w:rsidRPr="001D23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60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March, 2015.</w:t>
                            </w:r>
                          </w:p>
                          <w:p w:rsidR="003C69C2" w:rsidRDefault="003C69C2" w:rsidP="003C6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pt;margin-top:557.9pt;width:438.75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" strokecolor="black [3213]" strokeweight="1.5pt">
                <v:textbox>
                  <w:txbxContent>
                    <w:p w:rsidR="003C69C2" w:rsidRPr="00E260BC" w:rsidRDefault="003C69C2" w:rsidP="003C69C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60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next release of </w:t>
                      </w:r>
                      <w:r w:rsidRPr="00E260B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Graduate Labour Market Statistics</w:t>
                      </w:r>
                      <w:r w:rsidRPr="00E260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will be on 10</w:t>
                      </w:r>
                      <w:r w:rsidRPr="001D2329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260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March, 2015.</w:t>
                      </w:r>
                    </w:p>
                    <w:p w:rsidR="003C69C2" w:rsidRDefault="003C69C2" w:rsidP="003C69C2"/>
                  </w:txbxContent>
                </v:textbox>
              </v:shape>
            </w:pict>
          </mc:Fallback>
        </mc:AlternateContent>
      </w:r>
    </w:p>
    <w:sectPr w:rsidR="001D2329" w:rsidRPr="001D2329" w:rsidSect="003344F8">
      <w:endnotePr>
        <w:numFmt w:val="decimal"/>
      </w:endnotePr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8A" w:rsidRDefault="0078218A" w:rsidP="000F4230">
      <w:pPr>
        <w:spacing w:after="0" w:line="240" w:lineRule="auto"/>
      </w:pPr>
      <w:r>
        <w:separator/>
      </w:r>
    </w:p>
  </w:endnote>
  <w:endnote w:type="continuationSeparator" w:id="0">
    <w:p w:rsidR="0078218A" w:rsidRDefault="0078218A" w:rsidP="000F4230">
      <w:pPr>
        <w:spacing w:after="0" w:line="240" w:lineRule="auto"/>
      </w:pPr>
      <w:r>
        <w:continuationSeparator/>
      </w:r>
    </w:p>
  </w:endnote>
  <w:endnote w:id="1">
    <w:p w:rsidR="00D017EE" w:rsidRPr="004D6599" w:rsidRDefault="00D017EE">
      <w:pPr>
        <w:pStyle w:val="EndnoteText"/>
        <w:rPr>
          <w:rFonts w:ascii="Arial" w:hAnsi="Arial" w:cs="Arial"/>
        </w:rPr>
      </w:pPr>
      <w:r w:rsidRPr="004D6599">
        <w:rPr>
          <w:rStyle w:val="EndnoteReference"/>
          <w:rFonts w:ascii="Arial" w:hAnsi="Arial" w:cs="Arial"/>
        </w:rPr>
        <w:endnoteRef/>
      </w:r>
      <w:r w:rsidRPr="004D6599">
        <w:rPr>
          <w:rFonts w:ascii="Arial" w:hAnsi="Arial" w:cs="Arial"/>
        </w:rPr>
        <w:t xml:space="preserve"> For a more detailed explanation</w:t>
      </w:r>
      <w:r>
        <w:rPr>
          <w:rFonts w:ascii="Arial" w:hAnsi="Arial" w:cs="Arial"/>
        </w:rPr>
        <w:t xml:space="preserve"> of the qualifications included in each definition</w:t>
      </w:r>
      <w:r w:rsidR="00AB1079">
        <w:rPr>
          <w:rFonts w:ascii="Arial" w:hAnsi="Arial" w:cs="Arial"/>
        </w:rPr>
        <w:t>,</w:t>
      </w:r>
      <w:r w:rsidR="00D87C50">
        <w:rPr>
          <w:rFonts w:ascii="Arial" w:hAnsi="Arial" w:cs="Arial"/>
        </w:rPr>
        <w:t xml:space="preserve"> please see the Methodology </w:t>
      </w:r>
      <w:r>
        <w:rPr>
          <w:rFonts w:ascii="Arial" w:hAnsi="Arial" w:cs="Arial"/>
        </w:rPr>
        <w:t>Note published alongside this publication on the gov.uk website.</w:t>
      </w:r>
    </w:p>
  </w:endnote>
  <w:endnote w:id="2">
    <w:p w:rsidR="000821B7" w:rsidRDefault="000821B7" w:rsidP="000821B7">
      <w:pPr>
        <w:pStyle w:val="EndnoteText"/>
      </w:pPr>
      <w:r w:rsidRPr="002E524E">
        <w:rPr>
          <w:rStyle w:val="EndnoteReference"/>
          <w:rFonts w:ascii="Arial" w:hAnsi="Arial" w:cs="Arial"/>
        </w:rPr>
        <w:endnoteRef/>
      </w:r>
      <w:r w:rsidRPr="002E5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term percentage point refers to an absolute value rather than a proportion of the original value. E.g. Growth in graduate employment from </w:t>
      </w:r>
      <w:r w:rsidRPr="00AB1079">
        <w:rPr>
          <w:rFonts w:ascii="Arial" w:hAnsi="Arial" w:cs="Arial"/>
        </w:rPr>
        <w:t>87% to 88%</w:t>
      </w:r>
      <w:r>
        <w:rPr>
          <w:rFonts w:ascii="Arial" w:hAnsi="Arial" w:cs="Arial"/>
        </w:rPr>
        <w:t xml:space="preserve"> would be a one percentage point increase.</w:t>
      </w:r>
    </w:p>
  </w:endnote>
  <w:endnote w:id="3">
    <w:p w:rsidR="00D017EE" w:rsidRPr="002E524E" w:rsidRDefault="00D017EE">
      <w:pPr>
        <w:pStyle w:val="EndnoteText"/>
        <w:rPr>
          <w:rFonts w:ascii="Arial" w:hAnsi="Arial" w:cs="Arial"/>
        </w:rPr>
      </w:pPr>
      <w:r w:rsidRPr="00E039D8">
        <w:rPr>
          <w:rStyle w:val="EndnoteReference"/>
          <w:rFonts w:ascii="Arial" w:hAnsi="Arial" w:cs="Arial"/>
        </w:rPr>
        <w:endnoteRef/>
      </w:r>
      <w:r w:rsidRPr="00E039D8">
        <w:rPr>
          <w:rFonts w:ascii="Arial" w:hAnsi="Arial" w:cs="Arial"/>
        </w:rPr>
        <w:t xml:space="preserve"> High Skills jobs</w:t>
      </w:r>
      <w:r>
        <w:rPr>
          <w:rFonts w:ascii="Arial" w:hAnsi="Arial" w:cs="Arial"/>
        </w:rPr>
        <w:t xml:space="preserve"> fall into categories</w:t>
      </w:r>
      <w:r w:rsidRPr="00E039D8">
        <w:rPr>
          <w:rFonts w:ascii="Arial" w:hAnsi="Arial" w:cs="Arial"/>
        </w:rPr>
        <w:t xml:space="preserve"> 1-3 of the Standard Occupation Classification</w:t>
      </w:r>
      <w:r>
        <w:rPr>
          <w:rFonts w:ascii="Arial" w:hAnsi="Arial" w:cs="Arial"/>
        </w:rPr>
        <w:t xml:space="preserve">. For more </w:t>
      </w:r>
      <w:r w:rsidRPr="00AF7676">
        <w:rPr>
          <w:rFonts w:ascii="Arial" w:hAnsi="Arial" w:cs="Arial"/>
        </w:rPr>
        <w:t>info</w:t>
      </w:r>
      <w:r w:rsidRPr="002E524E">
        <w:rPr>
          <w:rFonts w:ascii="Arial" w:hAnsi="Arial" w:cs="Arial"/>
        </w:rPr>
        <w:t>rma</w:t>
      </w:r>
      <w:r w:rsidR="00D87C50">
        <w:rPr>
          <w:rFonts w:ascii="Arial" w:hAnsi="Arial" w:cs="Arial"/>
        </w:rPr>
        <w:t>tion see the GLMS Methodology</w:t>
      </w:r>
      <w:r w:rsidRPr="002E524E">
        <w:rPr>
          <w:rFonts w:ascii="Arial" w:hAnsi="Arial" w:cs="Arial"/>
        </w:rPr>
        <w:t xml:space="preserve"> Note.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07" w:rsidRDefault="00EF7F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6B" w:rsidRPr="00FF6EA8" w:rsidRDefault="0084106B" w:rsidP="0084106B">
    <w:pPr>
      <w:pStyle w:val="Footer"/>
      <w:pBdr>
        <w:top w:val="single" w:sz="8" w:space="3" w:color="auto"/>
        <w:left w:val="single" w:sz="8" w:space="4" w:color="auto"/>
        <w:bottom w:val="single" w:sz="8" w:space="3" w:color="auto"/>
        <w:right w:val="single" w:sz="8" w:space="4" w:color="auto"/>
      </w:pBdr>
      <w:tabs>
        <w:tab w:val="right" w:pos="9639"/>
      </w:tabs>
      <w:rPr>
        <w:sz w:val="20"/>
        <w:szCs w:val="20"/>
      </w:rPr>
    </w:pPr>
    <w:r>
      <w:rPr>
        <w:sz w:val="20"/>
        <w:szCs w:val="20"/>
      </w:rPr>
      <w:t>Contact: Justin C. Wiltshire</w:t>
    </w:r>
    <w:r w:rsidR="00FB292A">
      <w:rPr>
        <w:sz w:val="20"/>
        <w:szCs w:val="20"/>
      </w:rPr>
      <w:t xml:space="preserve">: </w:t>
    </w:r>
    <w:r w:rsidRPr="0084106B">
      <w:rPr>
        <w:sz w:val="20"/>
        <w:szCs w:val="20"/>
      </w:rPr>
      <w:t>justin.wiltshire@bis.gsi.gov.uk</w:t>
    </w:r>
    <w:proofErr w:type="gramStart"/>
    <w:r w:rsidR="006926C4">
      <w:rPr>
        <w:sz w:val="20"/>
        <w:szCs w:val="20"/>
      </w:rPr>
      <w:t>;</w:t>
    </w:r>
    <w:r>
      <w:rPr>
        <w:sz w:val="20"/>
        <w:szCs w:val="20"/>
      </w:rPr>
      <w:t xml:space="preserve">  020</w:t>
    </w:r>
    <w:proofErr w:type="gramEnd"/>
    <w:r>
      <w:rPr>
        <w:sz w:val="20"/>
        <w:szCs w:val="20"/>
      </w:rPr>
      <w:t xml:space="preserve"> 7215 3790</w:t>
    </w:r>
    <w:r w:rsidR="00FB292A">
      <w:rPr>
        <w:sz w:val="20"/>
        <w:szCs w:val="20"/>
      </w:rPr>
      <w:t xml:space="preserve">           URN </w:t>
    </w:r>
    <w:bookmarkStart w:id="0" w:name="_GoBack"/>
    <w:r w:rsidR="00FB292A">
      <w:rPr>
        <w:sz w:val="20"/>
        <w:szCs w:val="20"/>
      </w:rPr>
      <w:t>BIS/14/1264</w:t>
    </w:r>
    <w:bookmarkEnd w:id="0"/>
  </w:p>
  <w:p w:rsidR="0084106B" w:rsidRDefault="0084106B">
    <w:pPr>
      <w:pStyle w:val="Footer"/>
    </w:pPr>
  </w:p>
  <w:p w:rsidR="0084106B" w:rsidRDefault="008410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07" w:rsidRDefault="00EF7F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8A" w:rsidRDefault="0078218A" w:rsidP="000F4230">
      <w:pPr>
        <w:spacing w:after="0" w:line="240" w:lineRule="auto"/>
      </w:pPr>
      <w:r>
        <w:separator/>
      </w:r>
    </w:p>
  </w:footnote>
  <w:footnote w:type="continuationSeparator" w:id="0">
    <w:p w:rsidR="0078218A" w:rsidRDefault="0078218A" w:rsidP="000F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07" w:rsidRDefault="00EF7F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07" w:rsidRDefault="00EF7F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07" w:rsidRDefault="00EF7F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849"/>
    <w:multiLevelType w:val="hybridMultilevel"/>
    <w:tmpl w:val="571675FE"/>
    <w:lvl w:ilvl="0" w:tplc="1EEE0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07A93"/>
    <w:multiLevelType w:val="hybridMultilevel"/>
    <w:tmpl w:val="68C6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6D"/>
    <w:rsid w:val="00003F7D"/>
    <w:rsid w:val="000057E2"/>
    <w:rsid w:val="00007CAE"/>
    <w:rsid w:val="00030FEC"/>
    <w:rsid w:val="000415E7"/>
    <w:rsid w:val="00056AC0"/>
    <w:rsid w:val="000639F7"/>
    <w:rsid w:val="000821B7"/>
    <w:rsid w:val="00083E89"/>
    <w:rsid w:val="00084002"/>
    <w:rsid w:val="000C6DC1"/>
    <w:rsid w:val="000D64A5"/>
    <w:rsid w:val="000F26CD"/>
    <w:rsid w:val="000F4230"/>
    <w:rsid w:val="00106FEB"/>
    <w:rsid w:val="00126829"/>
    <w:rsid w:val="001766CD"/>
    <w:rsid w:val="001A138C"/>
    <w:rsid w:val="001D2329"/>
    <w:rsid w:val="001D292D"/>
    <w:rsid w:val="001D318B"/>
    <w:rsid w:val="001F2855"/>
    <w:rsid w:val="001F769D"/>
    <w:rsid w:val="00202594"/>
    <w:rsid w:val="00232BB3"/>
    <w:rsid w:val="00233715"/>
    <w:rsid w:val="00251DA9"/>
    <w:rsid w:val="002530B2"/>
    <w:rsid w:val="00262331"/>
    <w:rsid w:val="002C26DA"/>
    <w:rsid w:val="002C390C"/>
    <w:rsid w:val="002E4A8A"/>
    <w:rsid w:val="002E524E"/>
    <w:rsid w:val="0030008B"/>
    <w:rsid w:val="00306733"/>
    <w:rsid w:val="00306F04"/>
    <w:rsid w:val="00312DA5"/>
    <w:rsid w:val="0031580F"/>
    <w:rsid w:val="003344F8"/>
    <w:rsid w:val="00334BD1"/>
    <w:rsid w:val="0034037B"/>
    <w:rsid w:val="00394940"/>
    <w:rsid w:val="00395155"/>
    <w:rsid w:val="003A267D"/>
    <w:rsid w:val="003C69C2"/>
    <w:rsid w:val="00417ADD"/>
    <w:rsid w:val="00441395"/>
    <w:rsid w:val="00444E4F"/>
    <w:rsid w:val="00446EE2"/>
    <w:rsid w:val="00453E88"/>
    <w:rsid w:val="00490D58"/>
    <w:rsid w:val="00495F9E"/>
    <w:rsid w:val="004B64ED"/>
    <w:rsid w:val="004D267F"/>
    <w:rsid w:val="004D6599"/>
    <w:rsid w:val="004E034C"/>
    <w:rsid w:val="004F03C6"/>
    <w:rsid w:val="00522FA3"/>
    <w:rsid w:val="005354F6"/>
    <w:rsid w:val="00546C00"/>
    <w:rsid w:val="00550511"/>
    <w:rsid w:val="00551757"/>
    <w:rsid w:val="005526A5"/>
    <w:rsid w:val="0056632E"/>
    <w:rsid w:val="0057459A"/>
    <w:rsid w:val="00590831"/>
    <w:rsid w:val="005947E1"/>
    <w:rsid w:val="005B5553"/>
    <w:rsid w:val="005F61A7"/>
    <w:rsid w:val="00614A68"/>
    <w:rsid w:val="0064130B"/>
    <w:rsid w:val="00646D2E"/>
    <w:rsid w:val="006842E9"/>
    <w:rsid w:val="00685A2D"/>
    <w:rsid w:val="006926C4"/>
    <w:rsid w:val="00701E0C"/>
    <w:rsid w:val="0073347D"/>
    <w:rsid w:val="007369A0"/>
    <w:rsid w:val="00762115"/>
    <w:rsid w:val="007818DF"/>
    <w:rsid w:val="0078218A"/>
    <w:rsid w:val="00783C29"/>
    <w:rsid w:val="007C6242"/>
    <w:rsid w:val="007C6CA3"/>
    <w:rsid w:val="007E29C7"/>
    <w:rsid w:val="007F59D5"/>
    <w:rsid w:val="00805969"/>
    <w:rsid w:val="0080675A"/>
    <w:rsid w:val="0084106B"/>
    <w:rsid w:val="008530A7"/>
    <w:rsid w:val="00876260"/>
    <w:rsid w:val="00881FA6"/>
    <w:rsid w:val="00883410"/>
    <w:rsid w:val="008B1DF2"/>
    <w:rsid w:val="008C6CF8"/>
    <w:rsid w:val="008F1A70"/>
    <w:rsid w:val="008F5287"/>
    <w:rsid w:val="00906D9A"/>
    <w:rsid w:val="00924B2A"/>
    <w:rsid w:val="0095054E"/>
    <w:rsid w:val="009A0B03"/>
    <w:rsid w:val="009C0BE6"/>
    <w:rsid w:val="009D34A9"/>
    <w:rsid w:val="00A31F15"/>
    <w:rsid w:val="00A320BF"/>
    <w:rsid w:val="00A46169"/>
    <w:rsid w:val="00A52625"/>
    <w:rsid w:val="00A7718D"/>
    <w:rsid w:val="00A93D1D"/>
    <w:rsid w:val="00AB1079"/>
    <w:rsid w:val="00AB1F8E"/>
    <w:rsid w:val="00AC0C1B"/>
    <w:rsid w:val="00AC2F66"/>
    <w:rsid w:val="00AD1B6D"/>
    <w:rsid w:val="00AF192A"/>
    <w:rsid w:val="00AF7676"/>
    <w:rsid w:val="00B24821"/>
    <w:rsid w:val="00B85F2E"/>
    <w:rsid w:val="00BA3410"/>
    <w:rsid w:val="00BB2499"/>
    <w:rsid w:val="00BB6D6D"/>
    <w:rsid w:val="00BC213C"/>
    <w:rsid w:val="00C05895"/>
    <w:rsid w:val="00C564C8"/>
    <w:rsid w:val="00C65046"/>
    <w:rsid w:val="00C657B8"/>
    <w:rsid w:val="00CB1448"/>
    <w:rsid w:val="00CF101B"/>
    <w:rsid w:val="00D017EE"/>
    <w:rsid w:val="00D1098B"/>
    <w:rsid w:val="00D179DE"/>
    <w:rsid w:val="00D44415"/>
    <w:rsid w:val="00D57199"/>
    <w:rsid w:val="00D6618D"/>
    <w:rsid w:val="00D87C50"/>
    <w:rsid w:val="00D950FC"/>
    <w:rsid w:val="00DA609D"/>
    <w:rsid w:val="00DA6149"/>
    <w:rsid w:val="00DB7D5C"/>
    <w:rsid w:val="00DD4CBB"/>
    <w:rsid w:val="00E00988"/>
    <w:rsid w:val="00E039D8"/>
    <w:rsid w:val="00E0533F"/>
    <w:rsid w:val="00E062ED"/>
    <w:rsid w:val="00E174EA"/>
    <w:rsid w:val="00E260BC"/>
    <w:rsid w:val="00E420A2"/>
    <w:rsid w:val="00EF7F07"/>
    <w:rsid w:val="00F0490B"/>
    <w:rsid w:val="00F15D30"/>
    <w:rsid w:val="00F24427"/>
    <w:rsid w:val="00FB292A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6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A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C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C6C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9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30"/>
  </w:style>
  <w:style w:type="paragraph" w:styleId="Footer">
    <w:name w:val="footer"/>
    <w:basedOn w:val="Normal"/>
    <w:link w:val="FooterChar"/>
    <w:unhideWhenUsed/>
    <w:rsid w:val="000F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F4230"/>
  </w:style>
  <w:style w:type="character" w:styleId="Hyperlink">
    <w:name w:val="Hyperlink"/>
    <w:basedOn w:val="DefaultParagraphFont"/>
    <w:uiPriority w:val="99"/>
    <w:unhideWhenUsed/>
    <w:rsid w:val="0084106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65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5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65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7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17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6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A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C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C6C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9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230"/>
  </w:style>
  <w:style w:type="paragraph" w:styleId="Footer">
    <w:name w:val="footer"/>
    <w:basedOn w:val="Normal"/>
    <w:link w:val="FooterChar"/>
    <w:unhideWhenUsed/>
    <w:rsid w:val="000F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F4230"/>
  </w:style>
  <w:style w:type="character" w:styleId="Hyperlink">
    <w:name w:val="Hyperlink"/>
    <w:basedOn w:val="DefaultParagraphFont"/>
    <w:uiPriority w:val="99"/>
    <w:unhideWhenUsed/>
    <w:rsid w:val="0084106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65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5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65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7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1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4FCA-AD43-49C4-9D6F-981BABE4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Sadler Emma (ID)</dc:creator>
  <cp:lastModifiedBy>Davison Graham (Communications)</cp:lastModifiedBy>
  <cp:revision>2</cp:revision>
  <dcterms:created xsi:type="dcterms:W3CDTF">2014-12-05T13:20:00Z</dcterms:created>
  <dcterms:modified xsi:type="dcterms:W3CDTF">2014-12-05T13:20:00Z</dcterms:modified>
</cp:coreProperties>
</file>